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49D9" w14:textId="3D612399" w:rsidR="00B50D99" w:rsidRPr="00D0186A" w:rsidRDefault="000D2D94" w:rsidP="00D0186A">
      <w:pPr>
        <w:jc w:val="both"/>
        <w:rPr>
          <w:rFonts w:ascii="Arial" w:hAnsi="Arial" w:cs="Arial"/>
          <w:b/>
          <w:bCs/>
          <w:sz w:val="24"/>
          <w:szCs w:val="24"/>
          <w:lang w:val="en-US"/>
        </w:rPr>
      </w:pPr>
      <w:r w:rsidRPr="00691003">
        <w:rPr>
          <w:rFonts w:ascii="Arial" w:hAnsi="Arial" w:cs="Arial"/>
          <w:b/>
          <w:bCs/>
          <w:sz w:val="24"/>
          <w:szCs w:val="24"/>
          <w:lang w:val="en-US"/>
        </w:rPr>
        <w:t xml:space="preserve">Name of </w:t>
      </w:r>
      <w:proofErr w:type="gramStart"/>
      <w:r w:rsidRPr="00691003">
        <w:rPr>
          <w:rFonts w:ascii="Arial" w:hAnsi="Arial" w:cs="Arial"/>
          <w:b/>
          <w:bCs/>
          <w:sz w:val="24"/>
          <w:szCs w:val="24"/>
          <w:lang w:val="en-US"/>
        </w:rPr>
        <w:t>Stakeholder:_</w:t>
      </w:r>
      <w:proofErr w:type="gramEnd"/>
      <w:r w:rsidRPr="00691003">
        <w:rPr>
          <w:rFonts w:ascii="Arial" w:hAnsi="Arial" w:cs="Arial"/>
          <w:b/>
          <w:bCs/>
          <w:sz w:val="24"/>
          <w:szCs w:val="24"/>
          <w:lang w:val="en-US"/>
        </w:rPr>
        <w:t>__________________________</w:t>
      </w:r>
    </w:p>
    <w:tbl>
      <w:tblPr>
        <w:tblStyle w:val="TableGrid"/>
        <w:tblW w:w="4840" w:type="pct"/>
        <w:shd w:val="clear" w:color="auto" w:fill="FFFFFF" w:themeFill="background1"/>
        <w:tblLook w:val="04A0" w:firstRow="1" w:lastRow="0" w:firstColumn="1" w:lastColumn="0" w:noHBand="0" w:noVBand="1"/>
      </w:tblPr>
      <w:tblGrid>
        <w:gridCol w:w="2020"/>
        <w:gridCol w:w="3217"/>
        <w:gridCol w:w="3410"/>
        <w:gridCol w:w="2691"/>
        <w:gridCol w:w="2691"/>
        <w:gridCol w:w="2688"/>
      </w:tblGrid>
      <w:tr w:rsidR="00B56AAE" w:rsidRPr="00691003" w14:paraId="597B3777" w14:textId="0BD6E100" w:rsidTr="00B56AAE">
        <w:trPr>
          <w:trHeight w:val="321"/>
          <w:tblHeader/>
        </w:trPr>
        <w:tc>
          <w:tcPr>
            <w:tcW w:w="604" w:type="pct"/>
            <w:shd w:val="clear" w:color="auto" w:fill="FFFFFF" w:themeFill="background1"/>
          </w:tcPr>
          <w:p w14:paraId="0EB59AE4" w14:textId="68CC2B36" w:rsidR="00B56AAE" w:rsidRPr="00691003" w:rsidRDefault="00B56AAE" w:rsidP="00B56AAE">
            <w:pPr>
              <w:jc w:val="center"/>
              <w:rPr>
                <w:rFonts w:ascii="Arial" w:hAnsi="Arial" w:cs="Arial"/>
                <w:b/>
                <w:bCs/>
                <w:sz w:val="24"/>
                <w:szCs w:val="24"/>
              </w:rPr>
            </w:pPr>
            <w:r>
              <w:rPr>
                <w:rFonts w:ascii="Arial" w:hAnsi="Arial" w:cs="Arial"/>
                <w:b/>
                <w:bCs/>
                <w:sz w:val="24"/>
                <w:szCs w:val="24"/>
              </w:rPr>
              <w:t>Section</w:t>
            </w:r>
          </w:p>
        </w:tc>
        <w:tc>
          <w:tcPr>
            <w:tcW w:w="962" w:type="pct"/>
            <w:shd w:val="clear" w:color="auto" w:fill="FFFFFF" w:themeFill="background1"/>
          </w:tcPr>
          <w:p w14:paraId="6803D420" w14:textId="77777777" w:rsidR="00B56AAE" w:rsidRPr="00691003" w:rsidRDefault="00B56AAE" w:rsidP="00B56AAE">
            <w:pPr>
              <w:jc w:val="center"/>
              <w:rPr>
                <w:rFonts w:ascii="Arial" w:hAnsi="Arial" w:cs="Arial"/>
                <w:b/>
                <w:bCs/>
                <w:sz w:val="24"/>
                <w:szCs w:val="24"/>
              </w:rPr>
            </w:pPr>
            <w:r w:rsidRPr="00691003">
              <w:rPr>
                <w:rFonts w:ascii="Arial" w:hAnsi="Arial" w:cs="Arial"/>
                <w:b/>
                <w:bCs/>
                <w:sz w:val="24"/>
                <w:szCs w:val="24"/>
              </w:rPr>
              <w:t>Original Provision</w:t>
            </w:r>
          </w:p>
        </w:tc>
        <w:tc>
          <w:tcPr>
            <w:tcW w:w="1020" w:type="pct"/>
            <w:shd w:val="clear" w:color="auto" w:fill="FFFFFF" w:themeFill="background1"/>
          </w:tcPr>
          <w:p w14:paraId="75EDAB69" w14:textId="77777777" w:rsidR="00B56AAE" w:rsidRPr="00691003" w:rsidRDefault="00B56AAE" w:rsidP="00B56AAE">
            <w:pPr>
              <w:jc w:val="center"/>
              <w:rPr>
                <w:rFonts w:ascii="Arial" w:hAnsi="Arial" w:cs="Arial"/>
                <w:b/>
                <w:bCs/>
                <w:sz w:val="24"/>
                <w:szCs w:val="24"/>
              </w:rPr>
            </w:pPr>
            <w:r w:rsidRPr="00691003">
              <w:rPr>
                <w:rFonts w:ascii="Arial" w:hAnsi="Arial" w:cs="Arial"/>
                <w:b/>
                <w:bCs/>
                <w:sz w:val="24"/>
                <w:szCs w:val="24"/>
              </w:rPr>
              <w:t>Proposed Amendment</w:t>
            </w:r>
          </w:p>
        </w:tc>
        <w:tc>
          <w:tcPr>
            <w:tcW w:w="805" w:type="pct"/>
            <w:shd w:val="clear" w:color="auto" w:fill="FFFFFF" w:themeFill="background1"/>
          </w:tcPr>
          <w:p w14:paraId="39D5C88A" w14:textId="77777777" w:rsidR="00B56AAE" w:rsidRPr="00691003" w:rsidRDefault="00B56AAE" w:rsidP="00B56AAE">
            <w:pPr>
              <w:jc w:val="center"/>
              <w:rPr>
                <w:rFonts w:ascii="Arial" w:hAnsi="Arial" w:cs="Arial"/>
                <w:b/>
                <w:bCs/>
                <w:sz w:val="24"/>
                <w:szCs w:val="24"/>
              </w:rPr>
            </w:pPr>
            <w:r w:rsidRPr="00691003">
              <w:rPr>
                <w:rFonts w:ascii="Arial" w:hAnsi="Arial" w:cs="Arial"/>
                <w:b/>
                <w:bCs/>
                <w:sz w:val="24"/>
                <w:szCs w:val="24"/>
              </w:rPr>
              <w:t>Rationale</w:t>
            </w:r>
          </w:p>
        </w:tc>
        <w:tc>
          <w:tcPr>
            <w:tcW w:w="805" w:type="pct"/>
            <w:shd w:val="clear" w:color="auto" w:fill="FFFFFF" w:themeFill="background1"/>
          </w:tcPr>
          <w:p w14:paraId="45018E99" w14:textId="1273244E" w:rsidR="00B56AAE" w:rsidRPr="00691003" w:rsidRDefault="00B56AAE" w:rsidP="00B56AAE">
            <w:pPr>
              <w:jc w:val="center"/>
              <w:rPr>
                <w:rFonts w:ascii="Arial" w:hAnsi="Arial" w:cs="Arial"/>
                <w:b/>
                <w:bCs/>
                <w:sz w:val="24"/>
                <w:szCs w:val="24"/>
              </w:rPr>
            </w:pPr>
            <w:r>
              <w:rPr>
                <w:rFonts w:ascii="Arial" w:hAnsi="Arial" w:cs="Arial"/>
                <w:b/>
                <w:bCs/>
                <w:sz w:val="24"/>
                <w:szCs w:val="24"/>
              </w:rPr>
              <w:t xml:space="preserve">Comments/Proposed Revision </w:t>
            </w:r>
          </w:p>
        </w:tc>
        <w:tc>
          <w:tcPr>
            <w:tcW w:w="805" w:type="pct"/>
            <w:shd w:val="clear" w:color="auto" w:fill="FFFFFF" w:themeFill="background1"/>
          </w:tcPr>
          <w:p w14:paraId="4D8272A6" w14:textId="184977B9" w:rsidR="00B56AAE" w:rsidRPr="00691003" w:rsidRDefault="00B56AAE" w:rsidP="00B56AAE">
            <w:pPr>
              <w:jc w:val="center"/>
              <w:rPr>
                <w:rFonts w:ascii="Arial" w:hAnsi="Arial" w:cs="Arial"/>
                <w:b/>
                <w:bCs/>
                <w:sz w:val="24"/>
                <w:szCs w:val="24"/>
              </w:rPr>
            </w:pPr>
            <w:r>
              <w:rPr>
                <w:rFonts w:ascii="Arial" w:hAnsi="Arial" w:cs="Arial"/>
                <w:b/>
                <w:bCs/>
                <w:sz w:val="24"/>
                <w:szCs w:val="24"/>
              </w:rPr>
              <w:t>Rationale</w:t>
            </w:r>
          </w:p>
        </w:tc>
      </w:tr>
      <w:tr w:rsidR="00B56AAE" w:rsidRPr="00691003" w14:paraId="2012FF4C" w14:textId="2075263E" w:rsidTr="00B56AAE">
        <w:tc>
          <w:tcPr>
            <w:tcW w:w="604" w:type="pct"/>
            <w:shd w:val="clear" w:color="auto" w:fill="FFFFFF" w:themeFill="background1"/>
          </w:tcPr>
          <w:p w14:paraId="1D1374A4" w14:textId="77777777" w:rsidR="00B56AAE" w:rsidRDefault="00B56AAE" w:rsidP="00B56AAE">
            <w:pPr>
              <w:numPr>
                <w:ilvl w:val="1"/>
                <w:numId w:val="18"/>
              </w:numPr>
              <w:jc w:val="both"/>
              <w:rPr>
                <w:rFonts w:ascii="Arial" w:hAnsi="Arial" w:cs="Arial"/>
                <w:b/>
                <w:i/>
                <w:sz w:val="24"/>
                <w:szCs w:val="24"/>
              </w:rPr>
            </w:pPr>
          </w:p>
          <w:p w14:paraId="5BA4DAA0" w14:textId="1018A8E1" w:rsidR="00B56AAE" w:rsidRPr="00B56AAE" w:rsidRDefault="00B56AAE" w:rsidP="00B56AAE">
            <w:pPr>
              <w:jc w:val="both"/>
              <w:rPr>
                <w:rFonts w:ascii="Arial" w:hAnsi="Arial" w:cs="Arial"/>
                <w:b/>
                <w:i/>
                <w:sz w:val="24"/>
                <w:szCs w:val="24"/>
              </w:rPr>
            </w:pPr>
            <w:r w:rsidRPr="00B56AAE">
              <w:rPr>
                <w:rFonts w:ascii="Arial" w:hAnsi="Arial" w:cs="Arial"/>
                <w:b/>
                <w:i/>
                <w:sz w:val="24"/>
                <w:szCs w:val="24"/>
              </w:rPr>
              <w:t>Procedures During Test and Commissioning</w:t>
            </w:r>
          </w:p>
          <w:p w14:paraId="531A07BD" w14:textId="5E640271" w:rsidR="00B56AAE" w:rsidRPr="00691003" w:rsidRDefault="00B56AAE" w:rsidP="00B7516F">
            <w:pPr>
              <w:jc w:val="both"/>
              <w:rPr>
                <w:rFonts w:ascii="Arial" w:hAnsi="Arial" w:cs="Arial"/>
                <w:sz w:val="24"/>
                <w:szCs w:val="24"/>
              </w:rPr>
            </w:pPr>
          </w:p>
        </w:tc>
        <w:tc>
          <w:tcPr>
            <w:tcW w:w="962" w:type="pct"/>
            <w:shd w:val="clear" w:color="auto" w:fill="FFFFFF" w:themeFill="background1"/>
          </w:tcPr>
          <w:p w14:paraId="5CE70DAE" w14:textId="37183A3A" w:rsidR="00B56AAE" w:rsidRDefault="00B56AAE" w:rsidP="00B56AAE">
            <w:pPr>
              <w:rPr>
                <w:rFonts w:ascii="Arial" w:hAnsi="Arial" w:cs="Arial"/>
                <w:color w:val="000000"/>
                <w:sz w:val="24"/>
                <w:szCs w:val="24"/>
              </w:rPr>
            </w:pPr>
            <w:r>
              <w:rPr>
                <w:rFonts w:ascii="Arial" w:hAnsi="Arial" w:cs="Arial"/>
                <w:color w:val="000000"/>
                <w:sz w:val="24"/>
                <w:szCs w:val="24"/>
              </w:rPr>
              <w:t xml:space="preserve">xxx   </w:t>
            </w:r>
            <w:proofErr w:type="spellStart"/>
            <w:r>
              <w:rPr>
                <w:rFonts w:ascii="Arial" w:hAnsi="Arial" w:cs="Arial"/>
                <w:color w:val="000000"/>
                <w:sz w:val="24"/>
                <w:szCs w:val="24"/>
              </w:rPr>
              <w:t>xxx</w:t>
            </w:r>
            <w:proofErr w:type="spellEnd"/>
            <w:r>
              <w:rPr>
                <w:rFonts w:ascii="Arial" w:hAnsi="Arial" w:cs="Arial"/>
                <w:color w:val="000000"/>
                <w:sz w:val="24"/>
                <w:szCs w:val="24"/>
              </w:rPr>
              <w:t xml:space="preserve">   </w:t>
            </w:r>
            <w:proofErr w:type="spellStart"/>
            <w:r>
              <w:rPr>
                <w:rFonts w:ascii="Arial" w:hAnsi="Arial" w:cs="Arial"/>
                <w:color w:val="000000"/>
                <w:sz w:val="24"/>
                <w:szCs w:val="24"/>
              </w:rPr>
              <w:t>xxx</w:t>
            </w:r>
            <w:proofErr w:type="spellEnd"/>
          </w:p>
          <w:p w14:paraId="3E1FA42F" w14:textId="77777777" w:rsidR="00B56AAE" w:rsidRPr="002F6621" w:rsidRDefault="00B56AAE" w:rsidP="00B56AAE">
            <w:pPr>
              <w:rPr>
                <w:rFonts w:ascii="Arial" w:hAnsi="Arial" w:cs="Arial"/>
                <w:color w:val="000000"/>
                <w:sz w:val="24"/>
                <w:szCs w:val="24"/>
              </w:rPr>
            </w:pPr>
          </w:p>
          <w:p w14:paraId="2704AA66" w14:textId="77777777" w:rsidR="00B56AAE" w:rsidRPr="002F6621" w:rsidRDefault="00B56AAE" w:rsidP="00B56AAE">
            <w:pPr>
              <w:widowControl w:val="0"/>
              <w:numPr>
                <w:ilvl w:val="2"/>
                <w:numId w:val="15"/>
              </w:numPr>
              <w:pBdr>
                <w:top w:val="nil"/>
                <w:left w:val="nil"/>
                <w:bottom w:val="nil"/>
                <w:right w:val="nil"/>
                <w:between w:val="nil"/>
              </w:pBdr>
              <w:ind w:right="90"/>
              <w:jc w:val="both"/>
              <w:rPr>
                <w:rFonts w:ascii="Arial" w:eastAsia="Arial" w:hAnsi="Arial" w:cs="Arial"/>
                <w:color w:val="000000"/>
                <w:sz w:val="24"/>
                <w:szCs w:val="24"/>
              </w:rPr>
            </w:pPr>
            <w:r w:rsidRPr="002F6621">
              <w:rPr>
                <w:rFonts w:ascii="Arial" w:eastAsia="Arial" w:hAnsi="Arial" w:cs="Arial"/>
                <w:color w:val="000000"/>
                <w:sz w:val="24"/>
                <w:szCs w:val="24"/>
              </w:rPr>
              <w:t>Immediately upon expiry of the Provisional CATC or upon certification that the Generation Facility has completed the conduct of Test and Commissioning, the following shall be observed:</w:t>
            </w:r>
          </w:p>
          <w:p w14:paraId="7909CAE4" w14:textId="77777777" w:rsidR="00B56AAE" w:rsidRPr="002F6621" w:rsidRDefault="00B56AAE" w:rsidP="00B56AAE">
            <w:pPr>
              <w:widowControl w:val="0"/>
              <w:pBdr>
                <w:top w:val="nil"/>
                <w:left w:val="nil"/>
                <w:bottom w:val="nil"/>
                <w:right w:val="nil"/>
                <w:between w:val="nil"/>
              </w:pBdr>
              <w:tabs>
                <w:tab w:val="left" w:pos="0"/>
              </w:tabs>
              <w:ind w:left="1440" w:right="90"/>
              <w:jc w:val="both"/>
              <w:rPr>
                <w:rFonts w:ascii="Arial" w:eastAsia="Arial" w:hAnsi="Arial" w:cs="Arial"/>
                <w:color w:val="000000"/>
                <w:sz w:val="24"/>
                <w:szCs w:val="24"/>
              </w:rPr>
            </w:pPr>
          </w:p>
          <w:p w14:paraId="07B983BE" w14:textId="77777777" w:rsidR="00B56AAE" w:rsidRPr="002F6621" w:rsidRDefault="00B56AAE" w:rsidP="00B56AAE">
            <w:pPr>
              <w:widowControl w:val="0"/>
              <w:numPr>
                <w:ilvl w:val="0"/>
                <w:numId w:val="14"/>
              </w:numPr>
              <w:pBdr>
                <w:top w:val="nil"/>
                <w:left w:val="nil"/>
                <w:bottom w:val="nil"/>
                <w:right w:val="nil"/>
                <w:between w:val="nil"/>
              </w:pBdr>
              <w:tabs>
                <w:tab w:val="left" w:pos="0"/>
              </w:tabs>
              <w:ind w:left="1440" w:right="90" w:hanging="720"/>
              <w:jc w:val="both"/>
              <w:rPr>
                <w:rFonts w:ascii="Arial" w:eastAsia="Arial" w:hAnsi="Arial" w:cs="Arial"/>
                <w:color w:val="000000"/>
                <w:sz w:val="24"/>
                <w:szCs w:val="24"/>
              </w:rPr>
            </w:pPr>
            <w:r w:rsidRPr="002F6621">
              <w:rPr>
                <w:rFonts w:ascii="Arial" w:eastAsia="Arial" w:hAnsi="Arial" w:cs="Arial"/>
                <w:color w:val="000000"/>
                <w:sz w:val="24"/>
                <w:szCs w:val="24"/>
              </w:rPr>
              <w:t xml:space="preserve">The SO shall cease submission of over-riding constraints to the MO to prevent continuous injection of the Generation Facility while awaiting approval to commence </w:t>
            </w:r>
            <w:r w:rsidRPr="002F6621">
              <w:rPr>
                <w:rFonts w:ascii="Arial" w:eastAsia="Arial" w:hAnsi="Arial" w:cs="Arial"/>
                <w:color w:val="000000"/>
                <w:sz w:val="24"/>
                <w:szCs w:val="24"/>
              </w:rPr>
              <w:lastRenderedPageBreak/>
              <w:t>Commercial Operations.</w:t>
            </w:r>
          </w:p>
          <w:p w14:paraId="1EC76330" w14:textId="1DE2EC43" w:rsidR="00B56AAE" w:rsidRDefault="00B56AAE" w:rsidP="00B7516F">
            <w:pPr>
              <w:widowControl w:val="0"/>
              <w:numPr>
                <w:ilvl w:val="0"/>
                <w:numId w:val="14"/>
              </w:numPr>
              <w:pBdr>
                <w:top w:val="nil"/>
                <w:left w:val="nil"/>
                <w:bottom w:val="nil"/>
                <w:right w:val="nil"/>
                <w:between w:val="nil"/>
              </w:pBdr>
              <w:ind w:left="1440" w:right="90" w:hanging="720"/>
              <w:jc w:val="both"/>
              <w:rPr>
                <w:rFonts w:ascii="Arial" w:eastAsia="Arial" w:hAnsi="Arial" w:cs="Arial"/>
                <w:color w:val="000000"/>
                <w:sz w:val="24"/>
                <w:szCs w:val="24"/>
              </w:rPr>
            </w:pPr>
            <w:r w:rsidRPr="002F6621">
              <w:rPr>
                <w:rFonts w:ascii="Arial" w:eastAsia="Arial" w:hAnsi="Arial" w:cs="Arial"/>
                <w:color w:val="000000"/>
                <w:sz w:val="24"/>
                <w:szCs w:val="24"/>
              </w:rPr>
              <w:t xml:space="preserve">Should energy injections still be recorded from the Generation Facility, the Generation Company shall not be allowed to declare any bilateral contract quantity and shall not be entitled to any WESM payments for any injected energy but shall be charged for any energy withdrawn from the grid or distribution network. The </w:t>
            </w:r>
            <w:r w:rsidRPr="002F6621">
              <w:rPr>
                <w:rFonts w:ascii="Arial" w:eastAsia="Arial" w:hAnsi="Arial" w:cs="Arial"/>
                <w:color w:val="000000"/>
                <w:sz w:val="24"/>
                <w:szCs w:val="24"/>
              </w:rPr>
              <w:lastRenderedPageBreak/>
              <w:t>TNP or the DU in case of Embedded Generator shall immediately cause the disconnection of the Generation Company to prevent further injection in the grid or distribution network.</w:t>
            </w:r>
          </w:p>
          <w:p w14:paraId="258E7D1D" w14:textId="77777777" w:rsidR="00B56AAE" w:rsidRDefault="00B56AAE" w:rsidP="00B56AAE">
            <w:pPr>
              <w:widowControl w:val="0"/>
              <w:pBdr>
                <w:top w:val="nil"/>
                <w:left w:val="nil"/>
                <w:bottom w:val="nil"/>
                <w:right w:val="nil"/>
                <w:between w:val="nil"/>
              </w:pBdr>
              <w:ind w:left="1440" w:right="90"/>
              <w:jc w:val="both"/>
              <w:rPr>
                <w:rFonts w:ascii="Arial" w:eastAsia="Arial" w:hAnsi="Arial" w:cs="Arial"/>
                <w:color w:val="000000"/>
                <w:sz w:val="24"/>
                <w:szCs w:val="24"/>
              </w:rPr>
            </w:pPr>
          </w:p>
          <w:p w14:paraId="6234E3B4" w14:textId="77777777" w:rsidR="00B56AAE" w:rsidRDefault="00B56AAE" w:rsidP="00B56AAE">
            <w:pPr>
              <w:rPr>
                <w:rFonts w:ascii="Arial" w:hAnsi="Arial" w:cs="Arial"/>
                <w:color w:val="000000"/>
                <w:sz w:val="24"/>
                <w:szCs w:val="24"/>
              </w:rPr>
            </w:pPr>
            <w:r>
              <w:rPr>
                <w:rFonts w:ascii="Arial" w:hAnsi="Arial" w:cs="Arial"/>
                <w:color w:val="000000"/>
                <w:sz w:val="24"/>
                <w:szCs w:val="24"/>
              </w:rPr>
              <w:t xml:space="preserve">xxx   </w:t>
            </w:r>
            <w:proofErr w:type="spellStart"/>
            <w:r>
              <w:rPr>
                <w:rFonts w:ascii="Arial" w:hAnsi="Arial" w:cs="Arial"/>
                <w:color w:val="000000"/>
                <w:sz w:val="24"/>
                <w:szCs w:val="24"/>
              </w:rPr>
              <w:t>xxx</w:t>
            </w:r>
            <w:proofErr w:type="spellEnd"/>
            <w:r>
              <w:rPr>
                <w:rFonts w:ascii="Arial" w:hAnsi="Arial" w:cs="Arial"/>
                <w:color w:val="000000"/>
                <w:sz w:val="24"/>
                <w:szCs w:val="24"/>
              </w:rPr>
              <w:t xml:space="preserve">   </w:t>
            </w:r>
            <w:proofErr w:type="spellStart"/>
            <w:r>
              <w:rPr>
                <w:rFonts w:ascii="Arial" w:hAnsi="Arial" w:cs="Arial"/>
                <w:color w:val="000000"/>
                <w:sz w:val="24"/>
                <w:szCs w:val="24"/>
              </w:rPr>
              <w:t>xxx</w:t>
            </w:r>
            <w:proofErr w:type="spellEnd"/>
          </w:p>
          <w:p w14:paraId="47D25D2B" w14:textId="7729EF1F" w:rsidR="00B56AAE" w:rsidRPr="00B56AAE" w:rsidRDefault="00B56AAE" w:rsidP="00B56AAE">
            <w:pPr>
              <w:widowControl w:val="0"/>
              <w:pBdr>
                <w:top w:val="nil"/>
                <w:left w:val="nil"/>
                <w:bottom w:val="nil"/>
                <w:right w:val="nil"/>
                <w:between w:val="nil"/>
              </w:pBdr>
              <w:ind w:right="90"/>
              <w:jc w:val="both"/>
              <w:rPr>
                <w:rFonts w:ascii="Arial" w:eastAsia="Arial" w:hAnsi="Arial" w:cs="Arial"/>
                <w:color w:val="000000"/>
                <w:sz w:val="24"/>
                <w:szCs w:val="24"/>
              </w:rPr>
            </w:pPr>
          </w:p>
        </w:tc>
        <w:tc>
          <w:tcPr>
            <w:tcW w:w="1020" w:type="pct"/>
          </w:tcPr>
          <w:p w14:paraId="6999E484" w14:textId="77777777" w:rsidR="00B56AAE" w:rsidRDefault="00B56AAE" w:rsidP="00B56AAE">
            <w:pPr>
              <w:rPr>
                <w:rFonts w:ascii="Arial" w:hAnsi="Arial" w:cs="Arial"/>
                <w:color w:val="000000"/>
                <w:sz w:val="24"/>
                <w:szCs w:val="24"/>
              </w:rPr>
            </w:pPr>
            <w:r>
              <w:rPr>
                <w:rFonts w:ascii="Arial" w:hAnsi="Arial" w:cs="Arial"/>
                <w:color w:val="000000"/>
                <w:sz w:val="24"/>
                <w:szCs w:val="24"/>
              </w:rPr>
              <w:lastRenderedPageBreak/>
              <w:t xml:space="preserve">xxx   </w:t>
            </w:r>
            <w:proofErr w:type="spellStart"/>
            <w:r>
              <w:rPr>
                <w:rFonts w:ascii="Arial" w:hAnsi="Arial" w:cs="Arial"/>
                <w:color w:val="000000"/>
                <w:sz w:val="24"/>
                <w:szCs w:val="24"/>
              </w:rPr>
              <w:t>xxx</w:t>
            </w:r>
            <w:proofErr w:type="spellEnd"/>
            <w:r>
              <w:rPr>
                <w:rFonts w:ascii="Arial" w:hAnsi="Arial" w:cs="Arial"/>
                <w:color w:val="000000"/>
                <w:sz w:val="24"/>
                <w:szCs w:val="24"/>
              </w:rPr>
              <w:t xml:space="preserve">   </w:t>
            </w:r>
            <w:proofErr w:type="spellStart"/>
            <w:r>
              <w:rPr>
                <w:rFonts w:ascii="Arial" w:hAnsi="Arial" w:cs="Arial"/>
                <w:color w:val="000000"/>
                <w:sz w:val="24"/>
                <w:szCs w:val="24"/>
              </w:rPr>
              <w:t>xxx</w:t>
            </w:r>
            <w:proofErr w:type="spellEnd"/>
          </w:p>
          <w:p w14:paraId="3A066C61" w14:textId="77777777" w:rsidR="00B56AAE" w:rsidRDefault="00B56AAE" w:rsidP="00B56AAE">
            <w:pPr>
              <w:widowControl w:val="0"/>
              <w:pBdr>
                <w:top w:val="nil"/>
                <w:left w:val="nil"/>
                <w:bottom w:val="nil"/>
                <w:right w:val="nil"/>
                <w:between w:val="nil"/>
              </w:pBdr>
              <w:ind w:right="90"/>
              <w:jc w:val="both"/>
              <w:rPr>
                <w:rFonts w:ascii="Arial" w:eastAsia="Arial" w:hAnsi="Arial" w:cs="Arial"/>
                <w:color w:val="000000"/>
                <w:sz w:val="24"/>
                <w:szCs w:val="24"/>
              </w:rPr>
            </w:pPr>
          </w:p>
          <w:p w14:paraId="66255AD1" w14:textId="0F61E7CD" w:rsidR="00B56AAE" w:rsidRPr="002F6621" w:rsidRDefault="00B56AAE" w:rsidP="00B56AAE">
            <w:pPr>
              <w:widowControl w:val="0"/>
              <w:numPr>
                <w:ilvl w:val="2"/>
                <w:numId w:val="16"/>
              </w:numPr>
              <w:pBdr>
                <w:top w:val="nil"/>
                <w:left w:val="nil"/>
                <w:bottom w:val="nil"/>
                <w:right w:val="nil"/>
                <w:between w:val="nil"/>
              </w:pBdr>
              <w:ind w:right="90"/>
              <w:jc w:val="both"/>
              <w:rPr>
                <w:rFonts w:ascii="Arial" w:eastAsia="Arial" w:hAnsi="Arial" w:cs="Arial"/>
                <w:color w:val="000000"/>
                <w:sz w:val="24"/>
                <w:szCs w:val="24"/>
              </w:rPr>
            </w:pPr>
            <w:r w:rsidRPr="002F6621">
              <w:rPr>
                <w:rFonts w:ascii="Arial" w:eastAsia="Arial" w:hAnsi="Arial" w:cs="Arial"/>
                <w:color w:val="000000"/>
                <w:sz w:val="24"/>
                <w:szCs w:val="24"/>
              </w:rPr>
              <w:t>Immediately upon expiry of the Provisional CATC or upon certification that the Generation Facility has completed the conduct of Test and Commissioning, the following shall be observed:</w:t>
            </w:r>
          </w:p>
          <w:p w14:paraId="4219FF8F" w14:textId="77777777" w:rsidR="00B56AAE" w:rsidRPr="002F6621" w:rsidRDefault="00B56AAE" w:rsidP="00B56AAE">
            <w:pPr>
              <w:widowControl w:val="0"/>
              <w:pBdr>
                <w:top w:val="nil"/>
                <w:left w:val="nil"/>
                <w:bottom w:val="nil"/>
                <w:right w:val="nil"/>
                <w:between w:val="nil"/>
              </w:pBdr>
              <w:tabs>
                <w:tab w:val="left" w:pos="0"/>
              </w:tabs>
              <w:ind w:left="1440" w:right="90"/>
              <w:jc w:val="both"/>
              <w:rPr>
                <w:rFonts w:ascii="Arial" w:eastAsia="Arial" w:hAnsi="Arial" w:cs="Arial"/>
                <w:color w:val="000000"/>
                <w:sz w:val="24"/>
                <w:szCs w:val="24"/>
              </w:rPr>
            </w:pPr>
          </w:p>
          <w:p w14:paraId="7A6DDF8C" w14:textId="77777777" w:rsidR="00B56AAE" w:rsidRPr="002F6621" w:rsidRDefault="00B56AAE" w:rsidP="00B56AAE">
            <w:pPr>
              <w:widowControl w:val="0"/>
              <w:numPr>
                <w:ilvl w:val="0"/>
                <w:numId w:val="17"/>
              </w:numPr>
              <w:pBdr>
                <w:top w:val="nil"/>
                <w:left w:val="nil"/>
                <w:bottom w:val="nil"/>
                <w:right w:val="nil"/>
                <w:between w:val="nil"/>
              </w:pBdr>
              <w:tabs>
                <w:tab w:val="left" w:pos="0"/>
              </w:tabs>
              <w:ind w:right="90"/>
              <w:jc w:val="both"/>
              <w:rPr>
                <w:rFonts w:ascii="Arial" w:eastAsia="Arial" w:hAnsi="Arial" w:cs="Arial"/>
                <w:color w:val="000000"/>
                <w:sz w:val="24"/>
                <w:szCs w:val="24"/>
              </w:rPr>
            </w:pPr>
            <w:r w:rsidRPr="002F6621">
              <w:rPr>
                <w:rFonts w:ascii="Arial" w:eastAsia="Arial" w:hAnsi="Arial" w:cs="Arial"/>
                <w:color w:val="000000"/>
                <w:sz w:val="24"/>
                <w:szCs w:val="24"/>
              </w:rPr>
              <w:t>The SO shall cease submission of over-riding constraints to the MO to prevent continuous injection of the Generation Facility while awaiting approval to commence Commercial Operations.</w:t>
            </w:r>
          </w:p>
          <w:p w14:paraId="6425EC74" w14:textId="77777777" w:rsidR="00B56AAE" w:rsidRDefault="00B56AAE" w:rsidP="00B56AAE">
            <w:pPr>
              <w:widowControl w:val="0"/>
              <w:numPr>
                <w:ilvl w:val="0"/>
                <w:numId w:val="17"/>
              </w:numPr>
              <w:pBdr>
                <w:top w:val="nil"/>
                <w:left w:val="nil"/>
                <w:bottom w:val="nil"/>
                <w:right w:val="nil"/>
                <w:between w:val="nil"/>
              </w:pBdr>
              <w:ind w:left="1440" w:right="90" w:hanging="720"/>
              <w:jc w:val="both"/>
              <w:rPr>
                <w:rFonts w:ascii="Arial" w:eastAsia="Arial" w:hAnsi="Arial" w:cs="Arial"/>
                <w:color w:val="000000"/>
                <w:sz w:val="24"/>
                <w:szCs w:val="24"/>
              </w:rPr>
            </w:pPr>
            <w:r w:rsidRPr="002F6621">
              <w:rPr>
                <w:rFonts w:ascii="Arial" w:eastAsia="Arial" w:hAnsi="Arial" w:cs="Arial"/>
                <w:color w:val="000000"/>
                <w:sz w:val="24"/>
                <w:szCs w:val="24"/>
              </w:rPr>
              <w:t xml:space="preserve">Should energy injections still be recorded from the Generation </w:t>
            </w:r>
            <w:r w:rsidRPr="002F6621">
              <w:rPr>
                <w:rFonts w:ascii="Arial" w:eastAsia="Arial" w:hAnsi="Arial" w:cs="Arial"/>
                <w:color w:val="000000"/>
                <w:sz w:val="24"/>
                <w:szCs w:val="24"/>
              </w:rPr>
              <w:lastRenderedPageBreak/>
              <w:t xml:space="preserve">Facility, the Generation Company shall not be allowed to declare any bilateral contract quantity and shall not be entitled to any WESM payments for any injected energy but shall be charged for any energy withdrawn from the grid or distribution network. The TNP or the DU in case of Embedded Generator shall immediately cause the disconnection of the Generation Company to </w:t>
            </w:r>
            <w:r w:rsidRPr="002F6621">
              <w:rPr>
                <w:rFonts w:ascii="Arial" w:eastAsia="Arial" w:hAnsi="Arial" w:cs="Arial"/>
                <w:color w:val="000000"/>
                <w:sz w:val="24"/>
                <w:szCs w:val="24"/>
              </w:rPr>
              <w:lastRenderedPageBreak/>
              <w:t>prevent further injection in the grid or distribution network.</w:t>
            </w:r>
          </w:p>
          <w:p w14:paraId="1DECFBE1" w14:textId="77777777" w:rsidR="00B56AAE" w:rsidRDefault="00B56AAE" w:rsidP="00B56AAE">
            <w:pPr>
              <w:widowControl w:val="0"/>
              <w:pBdr>
                <w:top w:val="nil"/>
                <w:left w:val="nil"/>
                <w:bottom w:val="nil"/>
                <w:right w:val="nil"/>
                <w:between w:val="nil"/>
              </w:pBdr>
              <w:ind w:left="1440" w:right="90"/>
              <w:jc w:val="both"/>
              <w:rPr>
                <w:rFonts w:ascii="Arial" w:eastAsia="Arial" w:hAnsi="Arial" w:cs="Arial"/>
                <w:color w:val="000000"/>
                <w:sz w:val="24"/>
                <w:szCs w:val="24"/>
              </w:rPr>
            </w:pPr>
          </w:p>
          <w:p w14:paraId="2787A322" w14:textId="666292E8" w:rsidR="00B56AAE" w:rsidRDefault="00B56AAE" w:rsidP="00B56AAE">
            <w:pPr>
              <w:widowControl w:val="0"/>
              <w:pBdr>
                <w:top w:val="nil"/>
                <w:left w:val="nil"/>
                <w:bottom w:val="nil"/>
                <w:right w:val="nil"/>
                <w:between w:val="nil"/>
              </w:pBdr>
              <w:ind w:left="720" w:right="90"/>
              <w:jc w:val="both"/>
              <w:rPr>
                <w:rFonts w:ascii="Arial" w:eastAsia="Arial" w:hAnsi="Arial" w:cs="Arial"/>
                <w:b/>
                <w:bCs/>
                <w:i/>
                <w:iCs/>
                <w:color w:val="000000"/>
                <w:sz w:val="24"/>
                <w:szCs w:val="24"/>
                <w:u w:val="single"/>
              </w:rPr>
            </w:pPr>
            <w:r w:rsidRPr="00B56AAE">
              <w:rPr>
                <w:rFonts w:ascii="Arial" w:eastAsia="Arial" w:hAnsi="Arial" w:cs="Arial"/>
                <w:b/>
                <w:bCs/>
                <w:i/>
                <w:iCs/>
                <w:color w:val="000000"/>
                <w:sz w:val="24"/>
                <w:szCs w:val="24"/>
                <w:u w:val="single"/>
              </w:rPr>
              <w:t>Prior to the issuance of a COC by the ERC, a generation company that has been issued with a FCATC may be allowed to continue to operate and be compensated as price taker in the market, unless the ERC issues an Order for the generation company's immediate disconnection from the grid.</w:t>
            </w:r>
          </w:p>
          <w:p w14:paraId="6EAAB228" w14:textId="2581AD9B" w:rsidR="00B56AAE" w:rsidRDefault="00B56AAE" w:rsidP="00B56AAE">
            <w:pPr>
              <w:widowControl w:val="0"/>
              <w:pBdr>
                <w:top w:val="nil"/>
                <w:left w:val="nil"/>
                <w:bottom w:val="nil"/>
                <w:right w:val="nil"/>
                <w:between w:val="nil"/>
              </w:pBdr>
              <w:ind w:left="720" w:right="90"/>
              <w:jc w:val="both"/>
              <w:rPr>
                <w:rFonts w:ascii="Arial" w:eastAsia="Arial" w:hAnsi="Arial" w:cs="Arial"/>
                <w:b/>
                <w:bCs/>
                <w:i/>
                <w:iCs/>
                <w:color w:val="000000"/>
                <w:sz w:val="24"/>
                <w:szCs w:val="24"/>
                <w:u w:val="single"/>
              </w:rPr>
            </w:pPr>
          </w:p>
          <w:p w14:paraId="1259B761" w14:textId="77777777" w:rsidR="00B56AAE" w:rsidRDefault="00B56AAE" w:rsidP="00B56AAE">
            <w:pPr>
              <w:rPr>
                <w:rFonts w:ascii="Arial" w:hAnsi="Arial" w:cs="Arial"/>
                <w:color w:val="000000"/>
                <w:sz w:val="24"/>
                <w:szCs w:val="24"/>
              </w:rPr>
            </w:pPr>
            <w:r>
              <w:rPr>
                <w:rFonts w:ascii="Arial" w:hAnsi="Arial" w:cs="Arial"/>
                <w:color w:val="000000"/>
                <w:sz w:val="24"/>
                <w:szCs w:val="24"/>
              </w:rPr>
              <w:t xml:space="preserve">xxx   </w:t>
            </w:r>
            <w:proofErr w:type="spellStart"/>
            <w:r>
              <w:rPr>
                <w:rFonts w:ascii="Arial" w:hAnsi="Arial" w:cs="Arial"/>
                <w:color w:val="000000"/>
                <w:sz w:val="24"/>
                <w:szCs w:val="24"/>
              </w:rPr>
              <w:t>xxx</w:t>
            </w:r>
            <w:proofErr w:type="spellEnd"/>
            <w:r>
              <w:rPr>
                <w:rFonts w:ascii="Arial" w:hAnsi="Arial" w:cs="Arial"/>
                <w:color w:val="000000"/>
                <w:sz w:val="24"/>
                <w:szCs w:val="24"/>
              </w:rPr>
              <w:t xml:space="preserve">   </w:t>
            </w:r>
            <w:proofErr w:type="spellStart"/>
            <w:r>
              <w:rPr>
                <w:rFonts w:ascii="Arial" w:hAnsi="Arial" w:cs="Arial"/>
                <w:color w:val="000000"/>
                <w:sz w:val="24"/>
                <w:szCs w:val="24"/>
              </w:rPr>
              <w:t>xxx</w:t>
            </w:r>
            <w:proofErr w:type="spellEnd"/>
          </w:p>
          <w:p w14:paraId="7DD8CBCD" w14:textId="6C6531CA" w:rsidR="00B56AAE" w:rsidRPr="00B50D99" w:rsidRDefault="00B56AAE" w:rsidP="00D0186A">
            <w:pPr>
              <w:pStyle w:val="ListParagraph"/>
              <w:spacing w:line="276" w:lineRule="auto"/>
              <w:jc w:val="both"/>
              <w:rPr>
                <w:rFonts w:ascii="Arial" w:hAnsi="Arial" w:cs="Arial"/>
                <w:b/>
                <w:color w:val="000000" w:themeColor="text1"/>
                <w:sz w:val="22"/>
                <w:szCs w:val="22"/>
                <w:u w:val="single"/>
              </w:rPr>
            </w:pPr>
          </w:p>
        </w:tc>
        <w:tc>
          <w:tcPr>
            <w:tcW w:w="805" w:type="pct"/>
          </w:tcPr>
          <w:p w14:paraId="2C7BAFC6" w14:textId="24D776A4" w:rsidR="00B56AAE" w:rsidRPr="00691003" w:rsidRDefault="00347678" w:rsidP="00B7516F">
            <w:pPr>
              <w:pStyle w:val="Default"/>
              <w:jc w:val="both"/>
              <w:rPr>
                <w:color w:val="auto"/>
              </w:rPr>
            </w:pPr>
            <w:r>
              <w:rPr>
                <w:rFonts w:eastAsia="Arial"/>
              </w:rPr>
              <w:lastRenderedPageBreak/>
              <w:t xml:space="preserve">To </w:t>
            </w:r>
            <w:r>
              <w:rPr>
                <w:rFonts w:eastAsia="Arial"/>
              </w:rPr>
              <w:t>maximiz</w:t>
            </w:r>
            <w:r>
              <w:rPr>
                <w:rFonts w:eastAsia="Arial"/>
              </w:rPr>
              <w:t>e</w:t>
            </w:r>
            <w:r>
              <w:rPr>
                <w:rFonts w:eastAsia="Arial"/>
              </w:rPr>
              <w:t xml:space="preserve"> available power </w:t>
            </w:r>
            <w:proofErr w:type="gramStart"/>
            <w:r>
              <w:rPr>
                <w:rFonts w:eastAsia="Arial"/>
              </w:rPr>
              <w:t>generating capacity at all times</w:t>
            </w:r>
            <w:proofErr w:type="gramEnd"/>
          </w:p>
        </w:tc>
        <w:tc>
          <w:tcPr>
            <w:tcW w:w="805" w:type="pct"/>
          </w:tcPr>
          <w:p w14:paraId="0C364F9A" w14:textId="77777777" w:rsidR="00B56AAE" w:rsidRPr="00691003" w:rsidRDefault="00B56AAE" w:rsidP="00B7516F">
            <w:pPr>
              <w:pStyle w:val="Default"/>
              <w:jc w:val="both"/>
              <w:rPr>
                <w:color w:val="auto"/>
              </w:rPr>
            </w:pPr>
          </w:p>
        </w:tc>
        <w:tc>
          <w:tcPr>
            <w:tcW w:w="805" w:type="pct"/>
          </w:tcPr>
          <w:p w14:paraId="4948ED7E" w14:textId="77777777" w:rsidR="00B56AAE" w:rsidRPr="00691003" w:rsidRDefault="00B56AAE" w:rsidP="00B7516F">
            <w:pPr>
              <w:pStyle w:val="Default"/>
              <w:jc w:val="both"/>
              <w:rPr>
                <w:color w:val="auto"/>
              </w:rPr>
            </w:pPr>
          </w:p>
        </w:tc>
      </w:tr>
    </w:tbl>
    <w:p w14:paraId="047F73B0" w14:textId="77777777" w:rsidR="003242DE" w:rsidRPr="00691003" w:rsidRDefault="003242DE" w:rsidP="00D0186A">
      <w:pPr>
        <w:jc w:val="both"/>
        <w:rPr>
          <w:rFonts w:ascii="Arial" w:hAnsi="Arial" w:cs="Arial"/>
          <w:sz w:val="24"/>
          <w:szCs w:val="24"/>
          <w:u w:val="single"/>
        </w:rPr>
      </w:pPr>
    </w:p>
    <w:sectPr w:rsidR="003242DE" w:rsidRPr="00691003" w:rsidSect="000D2D94">
      <w:headerReference w:type="default" r:id="rId7"/>
      <w:footerReference w:type="default" r:id="rId8"/>
      <w:pgSz w:w="20160" w:h="12240" w:orient="landscape" w:code="5"/>
      <w:pgMar w:top="1440" w:right="1440" w:bottom="709" w:left="144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12EDB" w14:textId="77777777" w:rsidR="009500AA" w:rsidRDefault="009500AA" w:rsidP="000D2D94">
      <w:pPr>
        <w:spacing w:after="0" w:line="240" w:lineRule="auto"/>
      </w:pPr>
      <w:r>
        <w:separator/>
      </w:r>
    </w:p>
  </w:endnote>
  <w:endnote w:type="continuationSeparator" w:id="0">
    <w:p w14:paraId="130FB1F7" w14:textId="77777777" w:rsidR="009500AA" w:rsidRDefault="009500AA" w:rsidP="000D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885292"/>
      <w:docPartObj>
        <w:docPartGallery w:val="Page Numbers (Bottom of Page)"/>
        <w:docPartUnique/>
      </w:docPartObj>
    </w:sdtPr>
    <w:sdtEndPr/>
    <w:sdtContent>
      <w:sdt>
        <w:sdtPr>
          <w:id w:val="-1769616900"/>
          <w:docPartObj>
            <w:docPartGallery w:val="Page Numbers (Top of Page)"/>
            <w:docPartUnique/>
          </w:docPartObj>
        </w:sdtPr>
        <w:sdtEndPr/>
        <w:sdtContent>
          <w:p w14:paraId="524B0638" w14:textId="77777777" w:rsidR="000D2D94" w:rsidRDefault="000D2D94" w:rsidP="000D2D94">
            <w:pPr>
              <w:pStyle w:val="Footer"/>
            </w:pPr>
          </w:p>
          <w:p w14:paraId="48B2D943" w14:textId="77BE157B" w:rsidR="000D2D94" w:rsidRPr="007A56F4" w:rsidRDefault="000D2D94" w:rsidP="000D2D94">
            <w:pPr>
              <w:pStyle w:val="Footer"/>
              <w:rPr>
                <w:sz w:val="24"/>
                <w:szCs w:val="24"/>
                <w:lang w:val="en-US"/>
              </w:rPr>
            </w:pPr>
            <w:r w:rsidRPr="007A56F4">
              <w:rPr>
                <w:sz w:val="24"/>
                <w:szCs w:val="24"/>
                <w:lang w:val="en-US"/>
              </w:rPr>
              <w:t xml:space="preserve">Note: For convenience, please underline and put in bold letters the insertions. On the other hand, kindly strike though the deletions. </w:t>
            </w:r>
          </w:p>
          <w:p w14:paraId="3D43F057" w14:textId="77777777" w:rsidR="000D2D94" w:rsidRDefault="000D2D94">
            <w:pPr>
              <w:pStyle w:val="Footer"/>
              <w:jc w:val="right"/>
              <w:rPr>
                <w:rFonts w:ascii="Arial" w:hAnsi="Arial" w:cs="Arial"/>
              </w:rPr>
            </w:pPr>
          </w:p>
          <w:p w14:paraId="76C4216C" w14:textId="5E09E931" w:rsidR="00EE4AE2" w:rsidRDefault="00126482">
            <w:pPr>
              <w:pStyle w:val="Footer"/>
              <w:jc w:val="right"/>
            </w:pPr>
            <w:r w:rsidRPr="002F28A6">
              <w:rPr>
                <w:rFonts w:ascii="Arial" w:hAnsi="Arial" w:cs="Arial"/>
              </w:rPr>
              <w:t xml:space="preserve">Page </w:t>
            </w:r>
            <w:r w:rsidRPr="002F28A6">
              <w:rPr>
                <w:rFonts w:ascii="Arial" w:hAnsi="Arial" w:cs="Arial"/>
                <w:b/>
                <w:bCs/>
                <w:sz w:val="24"/>
                <w:szCs w:val="24"/>
              </w:rPr>
              <w:fldChar w:fldCharType="begin"/>
            </w:r>
            <w:r w:rsidRPr="002F28A6">
              <w:rPr>
                <w:rFonts w:ascii="Arial" w:hAnsi="Arial" w:cs="Arial"/>
                <w:b/>
                <w:bCs/>
              </w:rPr>
              <w:instrText xml:space="preserve"> PAGE </w:instrText>
            </w:r>
            <w:r w:rsidRPr="002F28A6">
              <w:rPr>
                <w:rFonts w:ascii="Arial" w:hAnsi="Arial" w:cs="Arial"/>
                <w:b/>
                <w:bCs/>
                <w:sz w:val="24"/>
                <w:szCs w:val="24"/>
              </w:rPr>
              <w:fldChar w:fldCharType="separate"/>
            </w:r>
            <w:r w:rsidRPr="002F28A6">
              <w:rPr>
                <w:rFonts w:ascii="Arial" w:hAnsi="Arial" w:cs="Arial"/>
                <w:b/>
                <w:bCs/>
                <w:noProof/>
              </w:rPr>
              <w:t>2</w:t>
            </w:r>
            <w:r w:rsidRPr="002F28A6">
              <w:rPr>
                <w:rFonts w:ascii="Arial" w:hAnsi="Arial" w:cs="Arial"/>
                <w:b/>
                <w:bCs/>
                <w:sz w:val="24"/>
                <w:szCs w:val="24"/>
              </w:rPr>
              <w:fldChar w:fldCharType="end"/>
            </w:r>
            <w:r w:rsidRPr="002F28A6">
              <w:rPr>
                <w:rFonts w:ascii="Arial" w:hAnsi="Arial" w:cs="Arial"/>
              </w:rPr>
              <w:t xml:space="preserve"> of </w:t>
            </w:r>
            <w:r w:rsidRPr="002F28A6">
              <w:rPr>
                <w:rFonts w:ascii="Arial" w:hAnsi="Arial" w:cs="Arial"/>
                <w:b/>
                <w:bCs/>
                <w:sz w:val="24"/>
                <w:szCs w:val="24"/>
              </w:rPr>
              <w:fldChar w:fldCharType="begin"/>
            </w:r>
            <w:r w:rsidRPr="002F28A6">
              <w:rPr>
                <w:rFonts w:ascii="Arial" w:hAnsi="Arial" w:cs="Arial"/>
                <w:b/>
                <w:bCs/>
              </w:rPr>
              <w:instrText xml:space="preserve"> NUMPAGES  </w:instrText>
            </w:r>
            <w:r w:rsidRPr="002F28A6">
              <w:rPr>
                <w:rFonts w:ascii="Arial" w:hAnsi="Arial" w:cs="Arial"/>
                <w:b/>
                <w:bCs/>
                <w:sz w:val="24"/>
                <w:szCs w:val="24"/>
              </w:rPr>
              <w:fldChar w:fldCharType="separate"/>
            </w:r>
            <w:r w:rsidRPr="002F28A6">
              <w:rPr>
                <w:rFonts w:ascii="Arial" w:hAnsi="Arial" w:cs="Arial"/>
                <w:b/>
                <w:bCs/>
                <w:noProof/>
              </w:rPr>
              <w:t>2</w:t>
            </w:r>
            <w:r w:rsidRPr="002F28A6">
              <w:rPr>
                <w:rFonts w:ascii="Arial" w:hAnsi="Arial" w:cs="Arial"/>
                <w:b/>
                <w:bCs/>
                <w:sz w:val="24"/>
                <w:szCs w:val="24"/>
              </w:rPr>
              <w:fldChar w:fldCharType="end"/>
            </w:r>
          </w:p>
        </w:sdtContent>
      </w:sdt>
    </w:sdtContent>
  </w:sdt>
  <w:p w14:paraId="5D431EA6" w14:textId="77777777" w:rsidR="00EE4AE2" w:rsidRDefault="00950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1F10" w14:textId="77777777" w:rsidR="009500AA" w:rsidRDefault="009500AA" w:rsidP="000D2D94">
      <w:pPr>
        <w:spacing w:after="0" w:line="240" w:lineRule="auto"/>
      </w:pPr>
      <w:r>
        <w:separator/>
      </w:r>
    </w:p>
  </w:footnote>
  <w:footnote w:type="continuationSeparator" w:id="0">
    <w:p w14:paraId="4BF8FC9F" w14:textId="77777777" w:rsidR="009500AA" w:rsidRDefault="009500AA" w:rsidP="000D2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07A5" w14:textId="46C2E1E7" w:rsidR="000D2D94" w:rsidRPr="00083729" w:rsidRDefault="000D2D94" w:rsidP="00B7516F">
    <w:pPr>
      <w:rPr>
        <w:rFonts w:ascii="Arial" w:hAnsi="Arial" w:cs="Arial"/>
        <w:b/>
        <w:bCs/>
        <w:sz w:val="24"/>
        <w:szCs w:val="24"/>
        <w:lang w:val="en-US"/>
      </w:rPr>
    </w:pPr>
    <w:r w:rsidRPr="00083729">
      <w:rPr>
        <w:rFonts w:ascii="Arial" w:hAnsi="Arial" w:cs="Arial"/>
        <w:b/>
        <w:bCs/>
        <w:sz w:val="24"/>
        <w:szCs w:val="24"/>
        <w:lang w:val="en-US"/>
      </w:rPr>
      <w:t xml:space="preserve">Comments to the Draft Department Circular entitled </w:t>
    </w:r>
    <w:r w:rsidR="00B7516F">
      <w:rPr>
        <w:rFonts w:ascii="Arial" w:hAnsi="Arial" w:cs="Arial"/>
        <w:b/>
        <w:bCs/>
        <w:sz w:val="24"/>
        <w:szCs w:val="24"/>
        <w:lang w:val="en-US"/>
      </w:rPr>
      <w:t>“</w:t>
    </w:r>
    <w:r w:rsidR="00D0186A" w:rsidRPr="00D0186A">
      <w:rPr>
        <w:rFonts w:ascii="Arial" w:hAnsi="Arial" w:cs="Arial"/>
        <w:b/>
        <w:bCs/>
        <w:sz w:val="24"/>
        <w:szCs w:val="24"/>
        <w:lang w:val="en-US"/>
      </w:rPr>
      <w:t>Supplementing Department Circular No. DC2021-06-0013 on the Framework Governing the Test and Commissioning of Generation Facilities for Ensuring Readiness to Deliver Energy to the Grid or Distribution Network</w:t>
    </w:r>
    <w:r>
      <w:rPr>
        <w:rFonts w:ascii="Arial" w:hAnsi="Arial" w:cs="Arial"/>
        <w:b/>
        <w:bCs/>
        <w:sz w:val="24"/>
        <w:szCs w:val="24"/>
        <w:lang w:val="en-US"/>
      </w:rPr>
      <w:t>”</w:t>
    </w:r>
  </w:p>
  <w:p w14:paraId="5C3A2C40" w14:textId="577599D3" w:rsidR="00BC4E24" w:rsidRPr="000D2D94" w:rsidRDefault="009500AA" w:rsidP="000D2D94">
    <w:pPr>
      <w:spacing w:after="0"/>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5C0"/>
    <w:multiLevelType w:val="multilevel"/>
    <w:tmpl w:val="8DB00D08"/>
    <w:lvl w:ilvl="0">
      <w:start w:val="4"/>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ascii="Arial" w:eastAsia="Arial" w:hAnsi="Arial" w:cs="Arial" w:hint="default"/>
        <w:b w:val="0"/>
        <w:i w:val="0"/>
        <w:sz w:val="24"/>
        <w:szCs w:val="24"/>
      </w:rPr>
    </w:lvl>
    <w:lvl w:ilvl="3">
      <w:start w:val="1"/>
      <w:numFmt w:val="decimal"/>
      <w:lvlText w:val="%1.%2.%3.%4"/>
      <w:lvlJc w:val="left"/>
      <w:pPr>
        <w:ind w:left="720" w:hanging="720"/>
      </w:pPr>
      <w:rPr>
        <w:rFonts w:ascii="Arial" w:eastAsia="Arial" w:hAnsi="Arial" w:cs="Arial" w:hint="default"/>
        <w:b w:val="0"/>
        <w:i w:val="0"/>
        <w:sz w:val="24"/>
        <w:szCs w:val="24"/>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440" w:hanging="1440"/>
      </w:pPr>
      <w:rPr>
        <w:rFonts w:hint="default"/>
        <w:b w:val="0"/>
        <w:i w:val="0"/>
      </w:rPr>
    </w:lvl>
  </w:abstractNum>
  <w:abstractNum w:abstractNumId="1" w15:restartNumberingAfterBreak="0">
    <w:nsid w:val="14900617"/>
    <w:multiLevelType w:val="hybridMultilevel"/>
    <w:tmpl w:val="9C88984E"/>
    <w:lvl w:ilvl="0" w:tplc="34090017">
      <w:start w:val="1"/>
      <w:numFmt w:val="lowerLetter"/>
      <w:lvlText w:val="%1)"/>
      <w:lvlJc w:val="left"/>
      <w:pPr>
        <w:ind w:left="720" w:hanging="360"/>
      </w:pPr>
      <w:rPr>
        <w:rFonts w:hint="default"/>
      </w:rPr>
    </w:lvl>
    <w:lvl w:ilvl="1" w:tplc="A0046B08">
      <w:start w:val="1"/>
      <w:numFmt w:val="lowerRoman"/>
      <w:lvlText w:val="%2."/>
      <w:lvlJc w:val="left"/>
      <w:pPr>
        <w:ind w:left="1440" w:hanging="360"/>
      </w:pPr>
      <w:rPr>
        <w:rFonts w:hint="default"/>
        <w:b/>
        <w:u w:val="single"/>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1A752B98"/>
    <w:multiLevelType w:val="hybridMultilevel"/>
    <w:tmpl w:val="3F3C370E"/>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22EC0179"/>
    <w:multiLevelType w:val="hybridMultilevel"/>
    <w:tmpl w:val="882A20A0"/>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15:restartNumberingAfterBreak="0">
    <w:nsid w:val="25072467"/>
    <w:multiLevelType w:val="hybridMultilevel"/>
    <w:tmpl w:val="BC3A6C2A"/>
    <w:lvl w:ilvl="0" w:tplc="E66C7DAC">
      <w:start w:val="1"/>
      <w:numFmt w:val="lowerLetter"/>
      <w:lvlText w:val="%1)"/>
      <w:lvlJc w:val="left"/>
      <w:pPr>
        <w:ind w:left="720" w:hanging="360"/>
      </w:pPr>
      <w:rPr>
        <w:rFonts w:hint="default"/>
        <w:u w:val="singl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36C26F92"/>
    <w:multiLevelType w:val="hybridMultilevel"/>
    <w:tmpl w:val="BC3A6C2A"/>
    <w:lvl w:ilvl="0" w:tplc="E66C7DAC">
      <w:start w:val="1"/>
      <w:numFmt w:val="lowerLetter"/>
      <w:lvlText w:val="%1)"/>
      <w:lvlJc w:val="left"/>
      <w:pPr>
        <w:ind w:left="720" w:hanging="360"/>
      </w:pPr>
      <w:rPr>
        <w:rFonts w:hint="default"/>
        <w:u w:val="singl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36D40FAD"/>
    <w:multiLevelType w:val="hybridMultilevel"/>
    <w:tmpl w:val="2040AFF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48A34A0D"/>
    <w:multiLevelType w:val="multilevel"/>
    <w:tmpl w:val="0046DA3E"/>
    <w:lvl w:ilvl="0">
      <w:start w:val="1"/>
      <w:numFmt w:val="low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 w15:restartNumberingAfterBreak="0">
    <w:nsid w:val="4FDD0CBD"/>
    <w:multiLevelType w:val="multilevel"/>
    <w:tmpl w:val="F42E1AC6"/>
    <w:lvl w:ilvl="0">
      <w:start w:val="4"/>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3"/>
      <w:numFmt w:val="decimal"/>
      <w:lvlText w:val="%1.%2.%3"/>
      <w:lvlJc w:val="left"/>
      <w:pPr>
        <w:ind w:left="720" w:hanging="720"/>
      </w:pPr>
      <w:rPr>
        <w:rFonts w:ascii="Arial" w:eastAsia="Arial" w:hAnsi="Arial" w:cs="Arial" w:hint="default"/>
        <w:b w:val="0"/>
        <w:i w:val="0"/>
        <w:sz w:val="24"/>
        <w:szCs w:val="24"/>
      </w:rPr>
    </w:lvl>
    <w:lvl w:ilvl="3">
      <w:start w:val="1"/>
      <w:numFmt w:val="decimal"/>
      <w:lvlText w:val="%1.%2.%3.%4"/>
      <w:lvlJc w:val="left"/>
      <w:pPr>
        <w:ind w:left="720" w:hanging="720"/>
      </w:pPr>
      <w:rPr>
        <w:rFonts w:ascii="Arial" w:eastAsia="Arial" w:hAnsi="Arial" w:cs="Arial" w:hint="default"/>
        <w:b w:val="0"/>
        <w:i w:val="0"/>
        <w:sz w:val="24"/>
        <w:szCs w:val="24"/>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440" w:hanging="1440"/>
      </w:pPr>
      <w:rPr>
        <w:rFonts w:hint="default"/>
        <w:b w:val="0"/>
        <w:i w:val="0"/>
      </w:rPr>
    </w:lvl>
  </w:abstractNum>
  <w:abstractNum w:abstractNumId="9" w15:restartNumberingAfterBreak="0">
    <w:nsid w:val="504812D6"/>
    <w:multiLevelType w:val="hybridMultilevel"/>
    <w:tmpl w:val="2040AFF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521947C8"/>
    <w:multiLevelType w:val="hybridMultilevel"/>
    <w:tmpl w:val="3B4C4BEC"/>
    <w:lvl w:ilvl="0" w:tplc="F334C656">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55485FD4"/>
    <w:multiLevelType w:val="hybridMultilevel"/>
    <w:tmpl w:val="8F1239FA"/>
    <w:lvl w:ilvl="0" w:tplc="2598A760">
      <w:start w:val="1"/>
      <w:numFmt w:val="upperRoman"/>
      <w:lvlText w:val="%1."/>
      <w:lvlJc w:val="left"/>
      <w:pPr>
        <w:tabs>
          <w:tab w:val="num" w:pos="180"/>
        </w:tabs>
        <w:ind w:left="180" w:hanging="180"/>
      </w:pPr>
      <w:rPr>
        <w:rFonts w:hint="default"/>
        <w:b/>
      </w:rPr>
    </w:lvl>
    <w:lvl w:ilvl="1" w:tplc="D22A542C">
      <w:start w:val="1"/>
      <w:numFmt w:val="lowerLetter"/>
      <w:lvlText w:val="%2."/>
      <w:lvlJc w:val="left"/>
      <w:pPr>
        <w:tabs>
          <w:tab w:val="num" w:pos="900"/>
        </w:tabs>
        <w:ind w:left="900" w:hanging="360"/>
      </w:pPr>
      <w:rPr>
        <w:b/>
        <w:u w:val="single"/>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2" w15:restartNumberingAfterBreak="0">
    <w:nsid w:val="5BEA7B78"/>
    <w:multiLevelType w:val="hybridMultilevel"/>
    <w:tmpl w:val="5C0221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F297680"/>
    <w:multiLevelType w:val="hybridMultilevel"/>
    <w:tmpl w:val="5720D698"/>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4" w15:restartNumberingAfterBreak="0">
    <w:nsid w:val="625E0995"/>
    <w:multiLevelType w:val="multilevel"/>
    <w:tmpl w:val="F42E1AC6"/>
    <w:lvl w:ilvl="0">
      <w:start w:val="4"/>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3"/>
      <w:numFmt w:val="decimal"/>
      <w:lvlText w:val="%1.%2.%3"/>
      <w:lvlJc w:val="left"/>
      <w:pPr>
        <w:ind w:left="720" w:hanging="720"/>
      </w:pPr>
      <w:rPr>
        <w:rFonts w:ascii="Arial" w:eastAsia="Arial" w:hAnsi="Arial" w:cs="Arial" w:hint="default"/>
        <w:b w:val="0"/>
        <w:i w:val="0"/>
        <w:sz w:val="24"/>
        <w:szCs w:val="24"/>
      </w:rPr>
    </w:lvl>
    <w:lvl w:ilvl="3">
      <w:start w:val="1"/>
      <w:numFmt w:val="decimal"/>
      <w:lvlText w:val="%1.%2.%3.%4"/>
      <w:lvlJc w:val="left"/>
      <w:pPr>
        <w:ind w:left="720" w:hanging="720"/>
      </w:pPr>
      <w:rPr>
        <w:rFonts w:ascii="Arial" w:eastAsia="Arial" w:hAnsi="Arial" w:cs="Arial" w:hint="default"/>
        <w:b w:val="0"/>
        <w:i w:val="0"/>
        <w:sz w:val="24"/>
        <w:szCs w:val="24"/>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440" w:hanging="1440"/>
      </w:pPr>
      <w:rPr>
        <w:rFonts w:hint="default"/>
        <w:b w:val="0"/>
        <w:i w:val="0"/>
      </w:rPr>
    </w:lvl>
  </w:abstractNum>
  <w:abstractNum w:abstractNumId="15" w15:restartNumberingAfterBreak="0">
    <w:nsid w:val="681D5EED"/>
    <w:multiLevelType w:val="hybridMultilevel"/>
    <w:tmpl w:val="2040AFF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6F6712AC"/>
    <w:multiLevelType w:val="multilevel"/>
    <w:tmpl w:val="0046DA3E"/>
    <w:lvl w:ilvl="0">
      <w:start w:val="1"/>
      <w:numFmt w:val="low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7" w15:restartNumberingAfterBreak="0">
    <w:nsid w:val="75B031A0"/>
    <w:multiLevelType w:val="hybridMultilevel"/>
    <w:tmpl w:val="2040AFF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1"/>
  </w:num>
  <w:num w:numId="2">
    <w:abstractNumId w:val="10"/>
  </w:num>
  <w:num w:numId="3">
    <w:abstractNumId w:val="15"/>
  </w:num>
  <w:num w:numId="4">
    <w:abstractNumId w:val="9"/>
  </w:num>
  <w:num w:numId="5">
    <w:abstractNumId w:val="17"/>
  </w:num>
  <w:num w:numId="6">
    <w:abstractNumId w:val="6"/>
  </w:num>
  <w:num w:numId="7">
    <w:abstractNumId w:val="1"/>
  </w:num>
  <w:num w:numId="8">
    <w:abstractNumId w:val="4"/>
  </w:num>
  <w:num w:numId="9">
    <w:abstractNumId w:val="12"/>
  </w:num>
  <w:num w:numId="10">
    <w:abstractNumId w:val="5"/>
  </w:num>
  <w:num w:numId="11">
    <w:abstractNumId w:val="2"/>
  </w:num>
  <w:num w:numId="12">
    <w:abstractNumId w:val="3"/>
  </w:num>
  <w:num w:numId="13">
    <w:abstractNumId w:val="13"/>
  </w:num>
  <w:num w:numId="14">
    <w:abstractNumId w:val="16"/>
  </w:num>
  <w:num w:numId="15">
    <w:abstractNumId w:val="8"/>
  </w:num>
  <w:num w:numId="16">
    <w:abstractNumId w:val="14"/>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94"/>
    <w:rsid w:val="00082240"/>
    <w:rsid w:val="000D2D94"/>
    <w:rsid w:val="00126482"/>
    <w:rsid w:val="00157C2B"/>
    <w:rsid w:val="00254A66"/>
    <w:rsid w:val="003242DE"/>
    <w:rsid w:val="00347678"/>
    <w:rsid w:val="00485F44"/>
    <w:rsid w:val="00492356"/>
    <w:rsid w:val="00515160"/>
    <w:rsid w:val="00647FA1"/>
    <w:rsid w:val="00675A76"/>
    <w:rsid w:val="00691003"/>
    <w:rsid w:val="00843E47"/>
    <w:rsid w:val="009500AA"/>
    <w:rsid w:val="00B50D99"/>
    <w:rsid w:val="00B56AAE"/>
    <w:rsid w:val="00B7516F"/>
    <w:rsid w:val="00CB0B47"/>
    <w:rsid w:val="00D0186A"/>
    <w:rsid w:val="00D632E8"/>
    <w:rsid w:val="00DC6570"/>
    <w:rsid w:val="00E47726"/>
    <w:rsid w:val="00F8189F"/>
    <w:rsid w:val="00FD6A9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B228"/>
  <w15:chartTrackingRefBased/>
  <w15:docId w15:val="{B7454C2B-4F8A-4C6F-80CB-9F633353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2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D94"/>
  </w:style>
  <w:style w:type="table" w:styleId="TableGrid">
    <w:name w:val="Table Grid"/>
    <w:basedOn w:val="TableNormal"/>
    <w:uiPriority w:val="39"/>
    <w:rsid w:val="000D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oel"/>
    <w:basedOn w:val="Normal"/>
    <w:link w:val="ListParagraphChar"/>
    <w:uiPriority w:val="34"/>
    <w:qFormat/>
    <w:rsid w:val="000D2D94"/>
    <w:pPr>
      <w:spacing w:after="0" w:line="240" w:lineRule="auto"/>
      <w:ind w:left="720"/>
      <w:contextualSpacing/>
    </w:pPr>
    <w:rPr>
      <w:rFonts w:ascii="Times New Roman" w:eastAsia="Times New Roman" w:hAnsi="Times New Roman" w:cs="Times New Roman"/>
      <w:sz w:val="24"/>
      <w:szCs w:val="20"/>
      <w:lang w:val="en-US"/>
    </w:rPr>
  </w:style>
  <w:style w:type="paragraph" w:customStyle="1" w:styleId="Attention">
    <w:name w:val="Attention"/>
    <w:basedOn w:val="Normal"/>
    <w:uiPriority w:val="99"/>
    <w:rsid w:val="000D2D94"/>
    <w:pPr>
      <w:suppressAutoHyphens/>
      <w:spacing w:after="0" w:line="240" w:lineRule="auto"/>
    </w:pPr>
    <w:rPr>
      <w:rFonts w:ascii="Arial" w:eastAsia="Times New Roman" w:hAnsi="Arial" w:cs="Arial"/>
      <w:b/>
      <w:lang w:val="x-none" w:eastAsia="zh-CN"/>
    </w:rPr>
  </w:style>
  <w:style w:type="character" w:customStyle="1" w:styleId="ListParagraphChar">
    <w:name w:val="List Paragraph Char"/>
    <w:aliases w:val="roel Char"/>
    <w:link w:val="ListParagraph"/>
    <w:uiPriority w:val="34"/>
    <w:locked/>
    <w:rsid w:val="000D2D94"/>
    <w:rPr>
      <w:rFonts w:ascii="Times New Roman" w:eastAsia="Times New Roman" w:hAnsi="Times New Roman" w:cs="Times New Roman"/>
      <w:sz w:val="24"/>
      <w:szCs w:val="20"/>
      <w:lang w:val="en-US"/>
    </w:rPr>
  </w:style>
  <w:style w:type="paragraph" w:customStyle="1" w:styleId="Default">
    <w:name w:val="Default"/>
    <w:rsid w:val="000D2D9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0D2D94"/>
    <w:pPr>
      <w:tabs>
        <w:tab w:val="center" w:pos="4680"/>
        <w:tab w:val="right" w:pos="9360"/>
      </w:tabs>
      <w:spacing w:after="0" w:line="240" w:lineRule="auto"/>
    </w:pPr>
  </w:style>
  <w:style w:type="character" w:customStyle="1" w:styleId="HeaderChar">
    <w:name w:val="Header Char"/>
    <w:basedOn w:val="DefaultParagraphFont"/>
    <w:link w:val="Header"/>
    <w:rsid w:val="000D2D94"/>
  </w:style>
  <w:style w:type="character" w:styleId="CommentReference">
    <w:name w:val="annotation reference"/>
    <w:basedOn w:val="DefaultParagraphFont"/>
    <w:uiPriority w:val="99"/>
    <w:semiHidden/>
    <w:unhideWhenUsed/>
    <w:rsid w:val="00157C2B"/>
    <w:rPr>
      <w:sz w:val="16"/>
      <w:szCs w:val="16"/>
    </w:rPr>
  </w:style>
  <w:style w:type="paragraph" w:styleId="CommentText">
    <w:name w:val="annotation text"/>
    <w:basedOn w:val="Normal"/>
    <w:link w:val="CommentTextChar"/>
    <w:uiPriority w:val="99"/>
    <w:semiHidden/>
    <w:unhideWhenUsed/>
    <w:rsid w:val="00157C2B"/>
    <w:pPr>
      <w:spacing w:line="240" w:lineRule="auto"/>
    </w:pPr>
    <w:rPr>
      <w:sz w:val="20"/>
      <w:szCs w:val="20"/>
    </w:rPr>
  </w:style>
  <w:style w:type="character" w:customStyle="1" w:styleId="CommentTextChar">
    <w:name w:val="Comment Text Char"/>
    <w:basedOn w:val="DefaultParagraphFont"/>
    <w:link w:val="CommentText"/>
    <w:uiPriority w:val="99"/>
    <w:semiHidden/>
    <w:rsid w:val="00157C2B"/>
    <w:rPr>
      <w:sz w:val="20"/>
      <w:szCs w:val="20"/>
    </w:rPr>
  </w:style>
  <w:style w:type="character" w:styleId="LineNumber">
    <w:name w:val="line number"/>
    <w:basedOn w:val="DefaultParagraphFont"/>
    <w:uiPriority w:val="99"/>
    <w:semiHidden/>
    <w:unhideWhenUsed/>
    <w:rsid w:val="00691003"/>
  </w:style>
  <w:style w:type="paragraph" w:styleId="NoSpacing">
    <w:name w:val="No Spacing"/>
    <w:uiPriority w:val="1"/>
    <w:qFormat/>
    <w:rsid w:val="00691003"/>
    <w:pPr>
      <w:spacing w:after="0" w:line="240" w:lineRule="auto"/>
    </w:pPr>
  </w:style>
  <w:style w:type="paragraph" w:styleId="FootnoteText">
    <w:name w:val="footnote text"/>
    <w:basedOn w:val="Normal"/>
    <w:link w:val="FootnoteTextChar"/>
    <w:unhideWhenUsed/>
    <w:rsid w:val="00691003"/>
    <w:pPr>
      <w:spacing w:after="0" w:line="240" w:lineRule="auto"/>
    </w:pPr>
    <w:rPr>
      <w:rFonts w:ascii="Trebuchet MS" w:eastAsia="Times New Roman" w:hAnsi="Trebuchet MS" w:cs="Times New Roman"/>
      <w:sz w:val="20"/>
      <w:szCs w:val="20"/>
      <w:lang w:val="en-US"/>
    </w:rPr>
  </w:style>
  <w:style w:type="character" w:customStyle="1" w:styleId="FootnoteTextChar">
    <w:name w:val="Footnote Text Char"/>
    <w:basedOn w:val="DefaultParagraphFont"/>
    <w:link w:val="FootnoteText"/>
    <w:rsid w:val="00691003"/>
    <w:rPr>
      <w:rFonts w:ascii="Trebuchet MS" w:eastAsia="Times New Roman" w:hAnsi="Trebuchet MS" w:cs="Times New Roman"/>
      <w:sz w:val="20"/>
      <w:szCs w:val="20"/>
      <w:lang w:val="en-US"/>
    </w:rPr>
  </w:style>
  <w:style w:type="character" w:styleId="FootnoteReference">
    <w:name w:val="footnote reference"/>
    <w:basedOn w:val="DefaultParagraphFont"/>
    <w:unhideWhenUsed/>
    <w:rsid w:val="00691003"/>
    <w:rPr>
      <w:vertAlign w:val="superscript"/>
    </w:rPr>
  </w:style>
  <w:style w:type="paragraph" w:customStyle="1" w:styleId="Body">
    <w:name w:val="Body"/>
    <w:link w:val="BodyChar"/>
    <w:rsid w:val="00691003"/>
    <w:pPr>
      <w:spacing w:after="120" w:line="240" w:lineRule="auto"/>
    </w:pPr>
    <w:rPr>
      <w:rFonts w:ascii="Arial" w:eastAsia="Times New Roman" w:hAnsi="Arial" w:cs="Times New Roman"/>
      <w:sz w:val="20"/>
      <w:szCs w:val="20"/>
      <w:lang w:val="en-US"/>
    </w:rPr>
  </w:style>
  <w:style w:type="character" w:customStyle="1" w:styleId="BodyChar">
    <w:name w:val="Body Char"/>
    <w:link w:val="Body"/>
    <w:rsid w:val="00691003"/>
    <w:rPr>
      <w:rFonts w:ascii="Arial" w:eastAsia="Times New Roman" w:hAnsi="Arial" w:cs="Times New Roman"/>
      <w:sz w:val="20"/>
      <w:szCs w:val="20"/>
      <w:lang w:val="en-US"/>
    </w:rPr>
  </w:style>
  <w:style w:type="character" w:customStyle="1" w:styleId="normaltextrun">
    <w:name w:val="normaltextrun"/>
    <w:basedOn w:val="DefaultParagraphFont"/>
    <w:rsid w:val="00B7516F"/>
  </w:style>
  <w:style w:type="paragraph" w:styleId="Caption">
    <w:name w:val="caption"/>
    <w:basedOn w:val="Normal"/>
    <w:next w:val="Normal"/>
    <w:uiPriority w:val="35"/>
    <w:unhideWhenUsed/>
    <w:qFormat/>
    <w:rsid w:val="003242D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Papa</dc:creator>
  <cp:keywords/>
  <dc:description/>
  <cp:lastModifiedBy>Jhannelyn D. Marasigan</cp:lastModifiedBy>
  <cp:revision>3</cp:revision>
  <dcterms:created xsi:type="dcterms:W3CDTF">2022-03-09T04:43:00Z</dcterms:created>
  <dcterms:modified xsi:type="dcterms:W3CDTF">2022-03-09T08:25:00Z</dcterms:modified>
</cp:coreProperties>
</file>