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691003" w:rsidRDefault="000D2D94" w:rsidP="00691003">
      <w:pPr>
        <w:jc w:val="both"/>
        <w:rPr>
          <w:rFonts w:ascii="Arial" w:hAnsi="Arial" w:cs="Arial"/>
          <w:b/>
          <w:bCs/>
          <w:sz w:val="24"/>
          <w:szCs w:val="24"/>
          <w:lang w:val="en-US"/>
        </w:rPr>
      </w:pPr>
      <w:r w:rsidRPr="00691003">
        <w:rPr>
          <w:rFonts w:ascii="Arial" w:hAnsi="Arial" w:cs="Arial"/>
          <w:b/>
          <w:bCs/>
          <w:sz w:val="24"/>
          <w:szCs w:val="24"/>
          <w:lang w:val="en-US"/>
        </w:rPr>
        <w:t xml:space="preserve">Name of </w:t>
      </w:r>
      <w:proofErr w:type="gramStart"/>
      <w:r w:rsidRPr="00691003">
        <w:rPr>
          <w:rFonts w:ascii="Arial" w:hAnsi="Arial" w:cs="Arial"/>
          <w:b/>
          <w:bCs/>
          <w:sz w:val="24"/>
          <w:szCs w:val="24"/>
          <w:lang w:val="en-US"/>
        </w:rPr>
        <w:t>Stakeholder:_</w:t>
      </w:r>
      <w:proofErr w:type="gramEnd"/>
      <w:r w:rsidRPr="00691003">
        <w:rPr>
          <w:rFonts w:ascii="Arial" w:hAnsi="Arial" w:cs="Arial"/>
          <w:b/>
          <w:bCs/>
          <w:sz w:val="24"/>
          <w:szCs w:val="24"/>
          <w:lang w:val="en-US"/>
        </w:rPr>
        <w:t>__________________________</w:t>
      </w:r>
    </w:p>
    <w:p w14:paraId="3CB43890" w14:textId="560DCA8D" w:rsidR="000D2D94" w:rsidRPr="00691003" w:rsidRDefault="000D2D94" w:rsidP="00691003">
      <w:pPr>
        <w:spacing w:after="0"/>
        <w:jc w:val="both"/>
        <w:rPr>
          <w:rFonts w:ascii="Arial" w:hAnsi="Arial" w:cs="Arial"/>
          <w:b/>
          <w:bCs/>
          <w:sz w:val="24"/>
          <w:szCs w:val="24"/>
        </w:rPr>
      </w:pPr>
    </w:p>
    <w:p w14:paraId="295B49D9" w14:textId="76D26EBB" w:rsidR="00B50D99" w:rsidRDefault="00B50D99" w:rsidP="00691003">
      <w:pPr>
        <w:spacing w:after="0"/>
        <w:jc w:val="both"/>
        <w:rPr>
          <w:rFonts w:ascii="Arial" w:hAnsi="Arial" w:cs="Arial"/>
          <w:b/>
          <w:bCs/>
          <w:sz w:val="24"/>
          <w:szCs w:val="24"/>
          <w:u w:val="single"/>
        </w:rPr>
      </w:pPr>
      <w:r w:rsidRPr="00B50D99">
        <w:rPr>
          <w:rFonts w:ascii="Arial" w:hAnsi="Arial" w:cs="Arial"/>
          <w:b/>
          <w:bCs/>
          <w:sz w:val="24"/>
          <w:szCs w:val="24"/>
          <w:u w:val="single"/>
        </w:rPr>
        <w:t xml:space="preserve">WESM Manual on </w:t>
      </w:r>
      <w:r w:rsidR="00814FC0" w:rsidRPr="00814FC0">
        <w:rPr>
          <w:rFonts w:ascii="Arial" w:hAnsi="Arial" w:cs="Arial"/>
          <w:b/>
          <w:bCs/>
          <w:sz w:val="24"/>
          <w:szCs w:val="24"/>
          <w:u w:val="single"/>
        </w:rPr>
        <w:t>Registration, Suspension, and De-Registration Criteria and Procedures</w:t>
      </w:r>
      <w:r w:rsidR="004C6600">
        <w:rPr>
          <w:rFonts w:ascii="Arial" w:hAnsi="Arial" w:cs="Arial"/>
          <w:b/>
          <w:bCs/>
          <w:sz w:val="24"/>
          <w:szCs w:val="24"/>
          <w:u w:val="single"/>
        </w:rPr>
        <w:t xml:space="preserve"> Issue 13.2</w:t>
      </w:r>
    </w:p>
    <w:p w14:paraId="20D1B037" w14:textId="77777777" w:rsidR="00814FC0" w:rsidRPr="00691003" w:rsidRDefault="00814FC0" w:rsidP="00691003">
      <w:pPr>
        <w:spacing w:after="0"/>
        <w:jc w:val="both"/>
        <w:rPr>
          <w:rFonts w:ascii="Arial" w:hAnsi="Arial" w:cs="Arial"/>
          <w:b/>
          <w:bCs/>
          <w:sz w:val="24"/>
          <w:szCs w:val="24"/>
          <w:u w:val="single"/>
        </w:rPr>
      </w:pPr>
    </w:p>
    <w:tbl>
      <w:tblPr>
        <w:tblStyle w:val="TableGrid"/>
        <w:tblW w:w="5211" w:type="pct"/>
        <w:shd w:val="clear" w:color="auto" w:fill="FFFFFF" w:themeFill="background1"/>
        <w:tblLook w:val="04A0" w:firstRow="1" w:lastRow="0" w:firstColumn="1" w:lastColumn="0" w:noHBand="0" w:noVBand="1"/>
      </w:tblPr>
      <w:tblGrid>
        <w:gridCol w:w="1544"/>
        <w:gridCol w:w="4115"/>
        <w:gridCol w:w="4701"/>
        <w:gridCol w:w="4237"/>
        <w:gridCol w:w="3402"/>
      </w:tblGrid>
      <w:tr w:rsidR="00814FC0" w:rsidRPr="00691003" w14:paraId="597B3777" w14:textId="22237953" w:rsidTr="004C6600">
        <w:trPr>
          <w:trHeight w:val="321"/>
          <w:tblHeader/>
        </w:trPr>
        <w:tc>
          <w:tcPr>
            <w:tcW w:w="429" w:type="pct"/>
            <w:shd w:val="clear" w:color="auto" w:fill="FFFFFF" w:themeFill="background1"/>
          </w:tcPr>
          <w:p w14:paraId="0EB59AE4" w14:textId="68CC2B36" w:rsidR="00814FC0" w:rsidRPr="00691003" w:rsidRDefault="00814FC0" w:rsidP="00691003">
            <w:pPr>
              <w:jc w:val="both"/>
              <w:rPr>
                <w:rFonts w:ascii="Arial" w:hAnsi="Arial" w:cs="Arial"/>
                <w:b/>
                <w:bCs/>
                <w:sz w:val="24"/>
                <w:szCs w:val="24"/>
              </w:rPr>
            </w:pPr>
            <w:r>
              <w:rPr>
                <w:rFonts w:ascii="Arial" w:hAnsi="Arial" w:cs="Arial"/>
                <w:b/>
                <w:bCs/>
                <w:sz w:val="24"/>
                <w:szCs w:val="24"/>
              </w:rPr>
              <w:t>Section</w:t>
            </w:r>
          </w:p>
        </w:tc>
        <w:tc>
          <w:tcPr>
            <w:tcW w:w="1143" w:type="pct"/>
            <w:shd w:val="clear" w:color="auto" w:fill="FFFFFF" w:themeFill="background1"/>
          </w:tcPr>
          <w:p w14:paraId="6803D420" w14:textId="77777777" w:rsidR="00814FC0" w:rsidRPr="00691003" w:rsidRDefault="00814FC0" w:rsidP="00691003">
            <w:pPr>
              <w:jc w:val="both"/>
              <w:rPr>
                <w:rFonts w:ascii="Arial" w:hAnsi="Arial" w:cs="Arial"/>
                <w:b/>
                <w:bCs/>
                <w:sz w:val="24"/>
                <w:szCs w:val="24"/>
              </w:rPr>
            </w:pPr>
            <w:r w:rsidRPr="00691003">
              <w:rPr>
                <w:rFonts w:ascii="Arial" w:hAnsi="Arial" w:cs="Arial"/>
                <w:b/>
                <w:bCs/>
                <w:sz w:val="24"/>
                <w:szCs w:val="24"/>
              </w:rPr>
              <w:t>Original Provision</w:t>
            </w:r>
          </w:p>
        </w:tc>
        <w:tc>
          <w:tcPr>
            <w:tcW w:w="1306" w:type="pct"/>
            <w:shd w:val="clear" w:color="auto" w:fill="FFFFFF" w:themeFill="background1"/>
          </w:tcPr>
          <w:p w14:paraId="75EDAB69" w14:textId="77777777" w:rsidR="00814FC0" w:rsidRPr="00691003" w:rsidRDefault="00814FC0" w:rsidP="00691003">
            <w:pPr>
              <w:jc w:val="both"/>
              <w:rPr>
                <w:rFonts w:ascii="Arial" w:hAnsi="Arial" w:cs="Arial"/>
                <w:b/>
                <w:bCs/>
                <w:sz w:val="24"/>
                <w:szCs w:val="24"/>
              </w:rPr>
            </w:pPr>
            <w:r w:rsidRPr="00691003">
              <w:rPr>
                <w:rFonts w:ascii="Arial" w:hAnsi="Arial" w:cs="Arial"/>
                <w:b/>
                <w:bCs/>
                <w:sz w:val="24"/>
                <w:szCs w:val="24"/>
              </w:rPr>
              <w:t>Proposed Amendment</w:t>
            </w:r>
          </w:p>
        </w:tc>
        <w:tc>
          <w:tcPr>
            <w:tcW w:w="1177" w:type="pct"/>
            <w:shd w:val="clear" w:color="auto" w:fill="FFFFFF" w:themeFill="background1"/>
            <w:vAlign w:val="center"/>
          </w:tcPr>
          <w:p w14:paraId="5D1F2900" w14:textId="77777777" w:rsidR="00814FC0" w:rsidRPr="00691003" w:rsidRDefault="00814FC0" w:rsidP="00691003">
            <w:pPr>
              <w:jc w:val="both"/>
              <w:rPr>
                <w:rFonts w:ascii="Arial" w:hAnsi="Arial" w:cs="Arial"/>
                <w:b/>
                <w:bCs/>
                <w:sz w:val="24"/>
                <w:szCs w:val="24"/>
                <w:lang w:val="en-US"/>
              </w:rPr>
            </w:pPr>
            <w:r w:rsidRPr="00691003">
              <w:rPr>
                <w:rFonts w:ascii="Arial" w:hAnsi="Arial" w:cs="Arial"/>
                <w:b/>
                <w:bCs/>
                <w:sz w:val="24"/>
                <w:szCs w:val="24"/>
                <w:lang w:val="en-US"/>
              </w:rPr>
              <w:t xml:space="preserve"> Comment / </w:t>
            </w:r>
          </w:p>
          <w:p w14:paraId="3D2077B9" w14:textId="0F74BAF2" w:rsidR="00814FC0" w:rsidRPr="00691003" w:rsidRDefault="00814FC0" w:rsidP="00691003">
            <w:pPr>
              <w:jc w:val="both"/>
              <w:rPr>
                <w:rFonts w:ascii="Arial" w:hAnsi="Arial" w:cs="Arial"/>
                <w:b/>
                <w:bCs/>
                <w:sz w:val="24"/>
                <w:szCs w:val="24"/>
              </w:rPr>
            </w:pPr>
            <w:r w:rsidRPr="00691003">
              <w:rPr>
                <w:rFonts w:ascii="Arial" w:hAnsi="Arial" w:cs="Arial"/>
                <w:b/>
                <w:bCs/>
                <w:sz w:val="24"/>
                <w:szCs w:val="24"/>
                <w:lang w:val="en-US"/>
              </w:rPr>
              <w:t>Proposed Revision</w:t>
            </w:r>
          </w:p>
        </w:tc>
        <w:tc>
          <w:tcPr>
            <w:tcW w:w="945" w:type="pct"/>
            <w:shd w:val="clear" w:color="auto" w:fill="FFFFFF" w:themeFill="background1"/>
            <w:vAlign w:val="center"/>
          </w:tcPr>
          <w:p w14:paraId="45F22FC8" w14:textId="0C349681" w:rsidR="00814FC0" w:rsidRPr="00691003" w:rsidRDefault="00814FC0" w:rsidP="00691003">
            <w:pPr>
              <w:jc w:val="both"/>
              <w:rPr>
                <w:rFonts w:ascii="Arial" w:hAnsi="Arial" w:cs="Arial"/>
                <w:b/>
                <w:bCs/>
                <w:sz w:val="24"/>
                <w:szCs w:val="24"/>
              </w:rPr>
            </w:pPr>
            <w:r w:rsidRPr="00691003">
              <w:rPr>
                <w:rFonts w:ascii="Arial" w:hAnsi="Arial" w:cs="Arial"/>
                <w:b/>
                <w:bCs/>
                <w:sz w:val="24"/>
                <w:szCs w:val="24"/>
                <w:lang w:val="en-US"/>
              </w:rPr>
              <w:t>Rationale</w:t>
            </w:r>
          </w:p>
        </w:tc>
      </w:tr>
      <w:tr w:rsidR="00814FC0" w:rsidRPr="00691003" w14:paraId="2012FF4C" w14:textId="771FE232" w:rsidTr="004C6600">
        <w:tc>
          <w:tcPr>
            <w:tcW w:w="429" w:type="pct"/>
          </w:tcPr>
          <w:p w14:paraId="531A07BD" w14:textId="68C15C2A" w:rsidR="00814FC0" w:rsidRPr="00691003" w:rsidRDefault="00814FC0" w:rsidP="0071528C">
            <w:pPr>
              <w:jc w:val="both"/>
              <w:rPr>
                <w:rFonts w:ascii="Arial" w:hAnsi="Arial" w:cs="Arial"/>
                <w:sz w:val="24"/>
                <w:szCs w:val="24"/>
              </w:rPr>
            </w:pPr>
            <w:r w:rsidRPr="00814FC0">
              <w:rPr>
                <w:rFonts w:ascii="Arial" w:hAnsi="Arial" w:cs="Arial"/>
              </w:rPr>
              <w:t xml:space="preserve">2.5.6.1 </w:t>
            </w:r>
          </w:p>
        </w:tc>
        <w:tc>
          <w:tcPr>
            <w:tcW w:w="1143" w:type="pct"/>
          </w:tcPr>
          <w:p w14:paraId="3D314491" w14:textId="6DD38307" w:rsidR="00B84B8F" w:rsidRDefault="00B84B8F" w:rsidP="00B84B8F">
            <w:pPr>
              <w:pStyle w:val="ListParagraph"/>
              <w:spacing w:line="276" w:lineRule="auto"/>
              <w:ind w:left="3"/>
              <w:jc w:val="both"/>
              <w:rPr>
                <w:rFonts w:ascii="Arial" w:hAnsi="Arial" w:cs="Arial"/>
                <w:bCs/>
                <w:color w:val="000000" w:themeColor="text1"/>
                <w:sz w:val="22"/>
                <w:szCs w:val="22"/>
              </w:rPr>
            </w:pPr>
            <w:r w:rsidRPr="00B84B8F">
              <w:rPr>
                <w:rFonts w:ascii="Arial" w:hAnsi="Arial" w:cs="Arial"/>
                <w:bCs/>
                <w:color w:val="000000" w:themeColor="text1"/>
                <w:sz w:val="22"/>
                <w:szCs w:val="22"/>
              </w:rPr>
              <w:t xml:space="preserve">xxx </w:t>
            </w:r>
            <w:proofErr w:type="spellStart"/>
            <w:r w:rsidRPr="00B84B8F">
              <w:rPr>
                <w:rFonts w:ascii="Arial" w:hAnsi="Arial" w:cs="Arial"/>
                <w:bCs/>
                <w:color w:val="000000" w:themeColor="text1"/>
                <w:sz w:val="22"/>
                <w:szCs w:val="22"/>
              </w:rPr>
              <w:t>xxx</w:t>
            </w:r>
            <w:proofErr w:type="spellEnd"/>
            <w:r w:rsidRPr="00B84B8F">
              <w:rPr>
                <w:rFonts w:ascii="Arial" w:hAnsi="Arial" w:cs="Arial"/>
                <w:bCs/>
                <w:color w:val="000000" w:themeColor="text1"/>
                <w:sz w:val="22"/>
                <w:szCs w:val="22"/>
              </w:rPr>
              <w:t xml:space="preserve"> </w:t>
            </w:r>
            <w:proofErr w:type="spellStart"/>
            <w:r w:rsidRPr="00B84B8F">
              <w:rPr>
                <w:rFonts w:ascii="Arial" w:hAnsi="Arial" w:cs="Arial"/>
                <w:bCs/>
                <w:color w:val="000000" w:themeColor="text1"/>
                <w:sz w:val="22"/>
                <w:szCs w:val="22"/>
              </w:rPr>
              <w:t>xxx</w:t>
            </w:r>
            <w:proofErr w:type="spellEnd"/>
          </w:p>
          <w:p w14:paraId="7D1A6D1A" w14:textId="01C6A840" w:rsidR="00B84B8F" w:rsidRPr="00B84B8F" w:rsidRDefault="00B84B8F" w:rsidP="00B84B8F">
            <w:pPr>
              <w:pStyle w:val="ListParagraph"/>
              <w:spacing w:line="276" w:lineRule="auto"/>
              <w:ind w:left="3"/>
              <w:jc w:val="both"/>
              <w:rPr>
                <w:rFonts w:ascii="Arial" w:hAnsi="Arial" w:cs="Arial"/>
                <w:bCs/>
                <w:color w:val="000000" w:themeColor="text1"/>
                <w:sz w:val="22"/>
                <w:szCs w:val="22"/>
              </w:rPr>
            </w:pPr>
            <w:r w:rsidRPr="00B84B8F">
              <w:rPr>
                <w:rFonts w:ascii="Arial" w:hAnsi="Arial" w:cs="Arial"/>
                <w:bCs/>
                <w:color w:val="000000" w:themeColor="text1"/>
                <w:sz w:val="22"/>
                <w:szCs w:val="22"/>
              </w:rPr>
              <w:t xml:space="preserve">h) </w:t>
            </w:r>
            <w:r w:rsidRPr="00B84B8F">
              <w:rPr>
                <w:rFonts w:ascii="Arial" w:hAnsi="Arial" w:cs="Arial"/>
                <w:bCs/>
                <w:color w:val="000000" w:themeColor="text1"/>
                <w:sz w:val="22"/>
                <w:szCs w:val="22"/>
              </w:rPr>
              <w:t>Participant Interface Access. During the Test and Commissioning</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Registration phase, the Applicant may subscribe to and allow the</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Market Operator to apply or install a method employing encryption in its</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computers to provide secure access to the Market Management</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System. The Applicant shall have read-only access to its facility during</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the Test and Commissioning phase to enable the Trading Participant to</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view its generating unit’s schedules. Meanwhile, full access to its facility</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will only be enabled by the Market Operator no later than eight (8)</w:t>
            </w:r>
            <w:r>
              <w:rPr>
                <w:rFonts w:ascii="Arial" w:hAnsi="Arial" w:cs="Arial"/>
                <w:bCs/>
                <w:color w:val="000000" w:themeColor="text1"/>
                <w:sz w:val="22"/>
                <w:szCs w:val="22"/>
              </w:rPr>
              <w:t xml:space="preserve"> </w:t>
            </w:r>
            <w:r w:rsidRPr="00B84B8F">
              <w:rPr>
                <w:rFonts w:ascii="Arial" w:hAnsi="Arial" w:cs="Arial"/>
                <w:bCs/>
                <w:color w:val="000000" w:themeColor="text1"/>
                <w:sz w:val="22"/>
                <w:szCs w:val="22"/>
              </w:rPr>
              <w:t>calendar days from approval of the Applicant’s Commercial Operations</w:t>
            </w:r>
          </w:p>
          <w:p w14:paraId="47D25D2B" w14:textId="79D88490" w:rsidR="00814FC0" w:rsidRPr="00B84B8F" w:rsidRDefault="00B84B8F" w:rsidP="00B84B8F">
            <w:pPr>
              <w:spacing w:line="276" w:lineRule="auto"/>
              <w:jc w:val="both"/>
              <w:rPr>
                <w:rFonts w:ascii="Arial" w:hAnsi="Arial" w:cs="Arial"/>
                <w:bCs/>
                <w:color w:val="000000" w:themeColor="text1"/>
              </w:rPr>
            </w:pPr>
            <w:r w:rsidRPr="00B84B8F">
              <w:rPr>
                <w:rFonts w:ascii="Arial" w:hAnsi="Arial" w:cs="Arial"/>
                <w:bCs/>
                <w:color w:val="000000" w:themeColor="text1"/>
              </w:rPr>
              <w:t>registration.</w:t>
            </w:r>
          </w:p>
        </w:tc>
        <w:tc>
          <w:tcPr>
            <w:tcW w:w="1306" w:type="pct"/>
          </w:tcPr>
          <w:p w14:paraId="5739BE5D" w14:textId="08924EFB" w:rsidR="00B84B8F" w:rsidRDefault="00B84B8F" w:rsidP="00814FC0">
            <w:pPr>
              <w:pStyle w:val="ListParagraph"/>
              <w:spacing w:line="276" w:lineRule="auto"/>
              <w:ind w:left="0"/>
              <w:jc w:val="both"/>
              <w:rPr>
                <w:rFonts w:ascii="Arial" w:hAnsi="Arial" w:cs="Arial"/>
                <w:bCs/>
                <w:color w:val="000000" w:themeColor="text1"/>
                <w:sz w:val="22"/>
                <w:szCs w:val="22"/>
              </w:rPr>
            </w:pPr>
            <w:r>
              <w:rPr>
                <w:rFonts w:ascii="Arial" w:hAnsi="Arial" w:cs="Arial"/>
                <w:bCs/>
                <w:color w:val="000000" w:themeColor="text1"/>
                <w:sz w:val="22"/>
                <w:szCs w:val="22"/>
              </w:rPr>
              <w:t xml:space="preserve">xxx </w:t>
            </w:r>
            <w:proofErr w:type="spellStart"/>
            <w:r>
              <w:rPr>
                <w:rFonts w:ascii="Arial" w:hAnsi="Arial" w:cs="Arial"/>
                <w:bCs/>
                <w:color w:val="000000" w:themeColor="text1"/>
                <w:sz w:val="22"/>
                <w:szCs w:val="22"/>
              </w:rPr>
              <w:t>xxx</w:t>
            </w:r>
            <w:proofErr w:type="spellEnd"/>
            <w:r>
              <w:rPr>
                <w:rFonts w:ascii="Arial" w:hAnsi="Arial" w:cs="Arial"/>
                <w:bCs/>
                <w:color w:val="000000" w:themeColor="text1"/>
                <w:sz w:val="22"/>
                <w:szCs w:val="22"/>
              </w:rPr>
              <w:t xml:space="preserve"> </w:t>
            </w:r>
            <w:proofErr w:type="spellStart"/>
            <w:r>
              <w:rPr>
                <w:rFonts w:ascii="Arial" w:hAnsi="Arial" w:cs="Arial"/>
                <w:bCs/>
                <w:color w:val="000000" w:themeColor="text1"/>
                <w:sz w:val="22"/>
                <w:szCs w:val="22"/>
              </w:rPr>
              <w:t>xxx</w:t>
            </w:r>
            <w:proofErr w:type="spellEnd"/>
          </w:p>
          <w:p w14:paraId="7DD8CBCD" w14:textId="175C9E83" w:rsidR="00814FC0" w:rsidRPr="00814FC0" w:rsidRDefault="00814FC0" w:rsidP="00814FC0">
            <w:pPr>
              <w:pStyle w:val="ListParagraph"/>
              <w:spacing w:line="276" w:lineRule="auto"/>
              <w:ind w:left="0"/>
              <w:jc w:val="both"/>
              <w:rPr>
                <w:rFonts w:ascii="Arial" w:hAnsi="Arial" w:cs="Arial"/>
                <w:bCs/>
                <w:color w:val="000000" w:themeColor="text1"/>
                <w:sz w:val="22"/>
                <w:szCs w:val="22"/>
              </w:rPr>
            </w:pPr>
            <w:r w:rsidRPr="00814FC0">
              <w:rPr>
                <w:rFonts w:ascii="Arial" w:hAnsi="Arial" w:cs="Arial"/>
                <w:bCs/>
                <w:color w:val="000000" w:themeColor="text1"/>
                <w:sz w:val="22"/>
                <w:szCs w:val="22"/>
              </w:rPr>
              <w:t xml:space="preserve">h) Participant Interface Access. During the Test and Commissioning Registration phase, the Applicant may subscribe to and allow the Market Operator to apply or install a method employing encryption in its computers to provide secure access to the Market Management System. The Applicant shall have read-only access to the Market Management System for its facility during the Test and Commissioning phase to enable the Trading Participant to view its generating unit’s schedules. </w:t>
            </w:r>
            <w:r w:rsidRPr="0038064F">
              <w:rPr>
                <w:rFonts w:ascii="Arial" w:hAnsi="Arial" w:cs="Arial"/>
                <w:bCs/>
                <w:color w:val="000000" w:themeColor="text1"/>
                <w:sz w:val="22"/>
                <w:szCs w:val="22"/>
              </w:rPr>
              <w:t>Full access for its facility will only be enabled by the Market Operator no later than eight (8) calendar days from approval of the Applicant’s Commercial Operations registration, or from the date of effectivity of Final Certificate of Approval to Connect (FCATC) if the ERC is yet to issue the Certificate of Compliance.</w:t>
            </w:r>
          </w:p>
        </w:tc>
        <w:tc>
          <w:tcPr>
            <w:tcW w:w="1177" w:type="pct"/>
            <w:shd w:val="clear" w:color="auto" w:fill="FFFFFF" w:themeFill="background1"/>
          </w:tcPr>
          <w:p w14:paraId="3B1C54E1" w14:textId="77777777" w:rsidR="00814FC0" w:rsidRPr="00691003" w:rsidRDefault="00814FC0" w:rsidP="0071528C">
            <w:pPr>
              <w:spacing w:line="276" w:lineRule="auto"/>
              <w:jc w:val="both"/>
              <w:rPr>
                <w:rFonts w:ascii="Arial" w:hAnsi="Arial" w:cs="Arial"/>
                <w:sz w:val="24"/>
                <w:szCs w:val="24"/>
              </w:rPr>
            </w:pPr>
          </w:p>
        </w:tc>
        <w:tc>
          <w:tcPr>
            <w:tcW w:w="945" w:type="pct"/>
            <w:shd w:val="clear" w:color="auto" w:fill="FFFFFF" w:themeFill="background1"/>
          </w:tcPr>
          <w:p w14:paraId="1D359080" w14:textId="77777777" w:rsidR="00814FC0" w:rsidRPr="00691003" w:rsidRDefault="00814FC0" w:rsidP="0071528C">
            <w:pPr>
              <w:spacing w:line="276" w:lineRule="auto"/>
              <w:jc w:val="both"/>
              <w:rPr>
                <w:rFonts w:ascii="Arial" w:hAnsi="Arial" w:cs="Arial"/>
                <w:sz w:val="24"/>
                <w:szCs w:val="24"/>
              </w:rPr>
            </w:pPr>
          </w:p>
        </w:tc>
      </w:tr>
      <w:tr w:rsidR="00814FC0" w:rsidRPr="00691003" w14:paraId="00B86FAB" w14:textId="77777777" w:rsidTr="004C6600">
        <w:tc>
          <w:tcPr>
            <w:tcW w:w="429" w:type="pct"/>
          </w:tcPr>
          <w:p w14:paraId="757AC293" w14:textId="26A1882D" w:rsidR="00814FC0" w:rsidRPr="00691003" w:rsidRDefault="00814FC0" w:rsidP="0071528C">
            <w:pPr>
              <w:jc w:val="both"/>
              <w:rPr>
                <w:rFonts w:ascii="Arial" w:hAnsi="Arial" w:cs="Arial"/>
                <w:sz w:val="24"/>
                <w:szCs w:val="24"/>
              </w:rPr>
            </w:pPr>
            <w:r>
              <w:rPr>
                <w:rFonts w:ascii="Arial" w:eastAsia="Arial" w:hAnsi="Arial" w:cs="Arial"/>
                <w:color w:val="000000"/>
                <w:sz w:val="24"/>
                <w:szCs w:val="24"/>
              </w:rPr>
              <w:t>2.5.7.3</w:t>
            </w:r>
          </w:p>
        </w:tc>
        <w:tc>
          <w:tcPr>
            <w:tcW w:w="1143" w:type="pct"/>
          </w:tcPr>
          <w:p w14:paraId="58040BA5" w14:textId="77777777" w:rsidR="00814FC0" w:rsidRDefault="00B84B8F" w:rsidP="00B84B8F">
            <w:pPr>
              <w:jc w:val="both"/>
              <w:rPr>
                <w:rFonts w:ascii="Arial" w:hAnsi="Arial" w:cs="Arial"/>
                <w:sz w:val="24"/>
                <w:szCs w:val="24"/>
              </w:rPr>
            </w:pPr>
            <w:r w:rsidRPr="00B84B8F">
              <w:rPr>
                <w:rFonts w:ascii="Arial" w:hAnsi="Arial" w:cs="Arial"/>
                <w:sz w:val="24"/>
                <w:szCs w:val="24"/>
              </w:rPr>
              <w:t>Guidelines for Test and Commissioning Registration</w:t>
            </w:r>
          </w:p>
          <w:p w14:paraId="597E625A" w14:textId="77777777" w:rsidR="00B84B8F" w:rsidRDefault="00B84B8F" w:rsidP="00B84B8F">
            <w:pPr>
              <w:jc w:val="both"/>
              <w:rPr>
                <w:rFonts w:ascii="Arial" w:hAnsi="Arial" w:cs="Arial"/>
                <w:sz w:val="24"/>
                <w:szCs w:val="24"/>
              </w:rPr>
            </w:pPr>
          </w:p>
          <w:p w14:paraId="65A02EA0" w14:textId="5515804B" w:rsidR="00B84B8F" w:rsidRPr="00B84B8F" w:rsidRDefault="00B84B8F" w:rsidP="00B84B8F">
            <w:pPr>
              <w:spacing w:after="0" w:line="240" w:lineRule="auto"/>
              <w:jc w:val="both"/>
              <w:rPr>
                <w:rFonts w:ascii="Arial" w:hAnsi="Arial" w:cs="Arial"/>
                <w:sz w:val="24"/>
                <w:szCs w:val="24"/>
              </w:rPr>
            </w:pPr>
            <w:r w:rsidRPr="00B84B8F">
              <w:rPr>
                <w:rFonts w:ascii="Arial" w:hAnsi="Arial" w:cs="Arial"/>
                <w:sz w:val="24"/>
                <w:szCs w:val="24"/>
              </w:rPr>
              <w:t>a) The generating unit of the WESM Member shall be allowed to declare</w:t>
            </w:r>
            <w:r>
              <w:rPr>
                <w:rFonts w:ascii="Arial" w:hAnsi="Arial" w:cs="Arial"/>
                <w:sz w:val="24"/>
                <w:szCs w:val="24"/>
              </w:rPr>
              <w:t xml:space="preserve"> </w:t>
            </w:r>
            <w:r w:rsidRPr="00B84B8F">
              <w:rPr>
                <w:rFonts w:ascii="Arial" w:hAnsi="Arial" w:cs="Arial"/>
                <w:sz w:val="24"/>
                <w:szCs w:val="24"/>
              </w:rPr>
              <w:lastRenderedPageBreak/>
              <w:t>bilateral contract quantities and be entitled to WESM payments for its</w:t>
            </w:r>
            <w:r>
              <w:rPr>
                <w:rFonts w:ascii="Arial" w:hAnsi="Arial" w:cs="Arial"/>
                <w:sz w:val="24"/>
                <w:szCs w:val="24"/>
              </w:rPr>
              <w:t xml:space="preserve"> </w:t>
            </w:r>
            <w:r w:rsidRPr="00B84B8F">
              <w:rPr>
                <w:rFonts w:ascii="Arial" w:hAnsi="Arial" w:cs="Arial"/>
                <w:sz w:val="24"/>
                <w:szCs w:val="24"/>
              </w:rPr>
              <w:t>generated output only within the test and commissioning period</w:t>
            </w:r>
            <w:r>
              <w:rPr>
                <w:rFonts w:ascii="Arial" w:hAnsi="Arial" w:cs="Arial"/>
                <w:sz w:val="24"/>
                <w:szCs w:val="24"/>
              </w:rPr>
              <w:t xml:space="preserve"> </w:t>
            </w:r>
            <w:r w:rsidRPr="00B84B8F">
              <w:rPr>
                <w:rFonts w:ascii="Arial" w:hAnsi="Arial" w:cs="Arial"/>
                <w:sz w:val="24"/>
                <w:szCs w:val="24"/>
              </w:rPr>
              <w:t>indicated in the valid Provisional Certificate of Approval to Connect</w:t>
            </w:r>
            <w:r>
              <w:rPr>
                <w:rFonts w:ascii="Arial" w:hAnsi="Arial" w:cs="Arial"/>
                <w:sz w:val="24"/>
                <w:szCs w:val="24"/>
              </w:rPr>
              <w:t xml:space="preserve"> </w:t>
            </w:r>
            <w:r w:rsidRPr="00B84B8F">
              <w:rPr>
                <w:rFonts w:ascii="Arial" w:hAnsi="Arial" w:cs="Arial"/>
                <w:sz w:val="24"/>
                <w:szCs w:val="24"/>
              </w:rPr>
              <w:t>issued by the Network Service Provider or upon completion of the</w:t>
            </w:r>
            <w:r>
              <w:rPr>
                <w:rFonts w:ascii="Arial" w:hAnsi="Arial" w:cs="Arial"/>
                <w:sz w:val="24"/>
                <w:szCs w:val="24"/>
              </w:rPr>
              <w:t xml:space="preserve"> </w:t>
            </w:r>
            <w:r w:rsidRPr="00B84B8F">
              <w:rPr>
                <w:rFonts w:ascii="Arial" w:hAnsi="Arial" w:cs="Arial"/>
                <w:sz w:val="24"/>
                <w:szCs w:val="24"/>
              </w:rPr>
              <w:t>conduct of test and commissioning, if completed earlier. Generation</w:t>
            </w:r>
            <w:r>
              <w:rPr>
                <w:rFonts w:ascii="Arial" w:hAnsi="Arial" w:cs="Arial"/>
                <w:sz w:val="24"/>
                <w:szCs w:val="24"/>
              </w:rPr>
              <w:t xml:space="preserve"> </w:t>
            </w:r>
            <w:r w:rsidRPr="00B84B8F">
              <w:rPr>
                <w:rFonts w:ascii="Arial" w:hAnsi="Arial" w:cs="Arial"/>
                <w:sz w:val="24"/>
                <w:szCs w:val="24"/>
              </w:rPr>
              <w:t>beyond the authorized test and commissioning period shall not be</w:t>
            </w:r>
            <w:r>
              <w:rPr>
                <w:rFonts w:ascii="Arial" w:hAnsi="Arial" w:cs="Arial"/>
                <w:sz w:val="24"/>
                <w:szCs w:val="24"/>
              </w:rPr>
              <w:t xml:space="preserve"> </w:t>
            </w:r>
            <w:r w:rsidRPr="00B84B8F">
              <w:rPr>
                <w:rFonts w:ascii="Arial" w:hAnsi="Arial" w:cs="Arial"/>
                <w:sz w:val="24"/>
                <w:szCs w:val="24"/>
              </w:rPr>
              <w:t>allowed to be declared as a bilateral contract quantity and shall not be</w:t>
            </w:r>
            <w:r>
              <w:rPr>
                <w:rFonts w:ascii="Arial" w:hAnsi="Arial" w:cs="Arial"/>
                <w:sz w:val="24"/>
                <w:szCs w:val="24"/>
              </w:rPr>
              <w:t xml:space="preserve"> </w:t>
            </w:r>
            <w:r w:rsidRPr="00B84B8F">
              <w:rPr>
                <w:rFonts w:ascii="Arial" w:hAnsi="Arial" w:cs="Arial"/>
                <w:sz w:val="24"/>
                <w:szCs w:val="24"/>
              </w:rPr>
              <w:t xml:space="preserve">entitled to WESM payments.18 Any net surplus as a result of </w:t>
            </w:r>
            <w:proofErr w:type="gramStart"/>
            <w:r w:rsidRPr="00B84B8F">
              <w:rPr>
                <w:rFonts w:ascii="Arial" w:hAnsi="Arial" w:cs="Arial"/>
                <w:sz w:val="24"/>
                <w:szCs w:val="24"/>
              </w:rPr>
              <w:t>injected</w:t>
            </w:r>
            <w:proofErr w:type="gramEnd"/>
          </w:p>
          <w:p w14:paraId="6BCCEBF5" w14:textId="77777777" w:rsidR="00B84B8F" w:rsidRDefault="00B84B8F" w:rsidP="00B84B8F">
            <w:pPr>
              <w:jc w:val="both"/>
              <w:rPr>
                <w:rFonts w:ascii="Arial" w:hAnsi="Arial" w:cs="Arial"/>
                <w:sz w:val="24"/>
                <w:szCs w:val="24"/>
              </w:rPr>
            </w:pPr>
            <w:r w:rsidRPr="00B84B8F">
              <w:rPr>
                <w:rFonts w:ascii="Arial" w:hAnsi="Arial" w:cs="Arial"/>
                <w:sz w:val="24"/>
                <w:szCs w:val="24"/>
              </w:rPr>
              <w:t>energy from unauthorized test and commissioning activity will be</w:t>
            </w:r>
            <w:r>
              <w:rPr>
                <w:rFonts w:ascii="Arial" w:hAnsi="Arial" w:cs="Arial"/>
                <w:sz w:val="24"/>
                <w:szCs w:val="24"/>
              </w:rPr>
              <w:t xml:space="preserve"> </w:t>
            </w:r>
            <w:r w:rsidRPr="00B84B8F">
              <w:rPr>
                <w:rFonts w:ascii="Arial" w:hAnsi="Arial" w:cs="Arial"/>
                <w:sz w:val="24"/>
                <w:szCs w:val="24"/>
              </w:rPr>
              <w:t>treated in accordance with WESM Rules Clause 3.13.12.19 However,</w:t>
            </w:r>
            <w:r>
              <w:rPr>
                <w:rFonts w:ascii="Arial" w:hAnsi="Arial" w:cs="Arial"/>
                <w:sz w:val="24"/>
                <w:szCs w:val="24"/>
              </w:rPr>
              <w:t xml:space="preserve"> </w:t>
            </w:r>
            <w:r w:rsidRPr="00B84B8F">
              <w:rPr>
                <w:rFonts w:ascii="Arial" w:hAnsi="Arial" w:cs="Arial"/>
                <w:sz w:val="24"/>
                <w:szCs w:val="24"/>
              </w:rPr>
              <w:t>the WESM Member shall still be charged for all withdrawals from the</w:t>
            </w:r>
            <w:r>
              <w:rPr>
                <w:rFonts w:ascii="Arial" w:hAnsi="Arial" w:cs="Arial"/>
                <w:sz w:val="24"/>
                <w:szCs w:val="24"/>
              </w:rPr>
              <w:t xml:space="preserve"> </w:t>
            </w:r>
            <w:r w:rsidRPr="00B84B8F">
              <w:rPr>
                <w:rFonts w:ascii="Arial" w:hAnsi="Arial" w:cs="Arial"/>
                <w:sz w:val="24"/>
                <w:szCs w:val="24"/>
              </w:rPr>
              <w:t>grid for the conduct of its test and commissioning activities.</w:t>
            </w:r>
          </w:p>
          <w:p w14:paraId="1B7331E3" w14:textId="77777777" w:rsidR="00B84B8F" w:rsidRDefault="00B84B8F" w:rsidP="00B84B8F">
            <w:pPr>
              <w:jc w:val="both"/>
              <w:rPr>
                <w:rFonts w:ascii="Arial" w:hAnsi="Arial" w:cs="Arial"/>
                <w:sz w:val="24"/>
                <w:szCs w:val="24"/>
              </w:rPr>
            </w:pPr>
          </w:p>
          <w:p w14:paraId="16670FE2" w14:textId="77777777" w:rsidR="00B84B8F" w:rsidRDefault="00B84B8F" w:rsidP="00B84B8F">
            <w:pPr>
              <w:jc w:val="both"/>
              <w:rPr>
                <w:rFonts w:ascii="Arial" w:hAnsi="Arial" w:cs="Arial"/>
                <w:sz w:val="24"/>
                <w:szCs w:val="24"/>
              </w:rPr>
            </w:pPr>
          </w:p>
          <w:p w14:paraId="2DD7C7F2" w14:textId="77777777" w:rsidR="00B84B8F" w:rsidRDefault="00B84B8F" w:rsidP="00B84B8F">
            <w:pPr>
              <w:jc w:val="both"/>
              <w:rPr>
                <w:rFonts w:ascii="Arial" w:hAnsi="Arial" w:cs="Arial"/>
                <w:sz w:val="24"/>
                <w:szCs w:val="24"/>
              </w:rPr>
            </w:pPr>
            <w:r>
              <w:rPr>
                <w:rFonts w:ascii="Arial" w:hAnsi="Arial" w:cs="Arial"/>
                <w:sz w:val="24"/>
                <w:szCs w:val="24"/>
              </w:rPr>
              <w:t xml:space="preserve">b) </w:t>
            </w:r>
            <w:r w:rsidRPr="00B84B8F">
              <w:rPr>
                <w:rFonts w:ascii="Arial" w:hAnsi="Arial" w:cs="Arial"/>
                <w:sz w:val="24"/>
                <w:szCs w:val="24"/>
              </w:rPr>
              <w:t>The Market Operator shall notify the WESM Member, copy furnished</w:t>
            </w:r>
            <w:r>
              <w:rPr>
                <w:rFonts w:ascii="Arial" w:hAnsi="Arial" w:cs="Arial"/>
                <w:sz w:val="24"/>
                <w:szCs w:val="24"/>
              </w:rPr>
              <w:t xml:space="preserve"> </w:t>
            </w:r>
            <w:r w:rsidRPr="00B84B8F">
              <w:rPr>
                <w:rFonts w:ascii="Arial" w:hAnsi="Arial" w:cs="Arial"/>
                <w:sz w:val="24"/>
                <w:szCs w:val="24"/>
              </w:rPr>
              <w:t>the System Operator, of the expiration of its Provisional CATC fifteen</w:t>
            </w:r>
            <w:r>
              <w:rPr>
                <w:rFonts w:ascii="Arial" w:hAnsi="Arial" w:cs="Arial"/>
                <w:sz w:val="24"/>
                <w:szCs w:val="24"/>
              </w:rPr>
              <w:t xml:space="preserve"> </w:t>
            </w:r>
            <w:r w:rsidRPr="00B84B8F">
              <w:rPr>
                <w:rFonts w:ascii="Arial" w:hAnsi="Arial" w:cs="Arial"/>
                <w:sz w:val="24"/>
                <w:szCs w:val="24"/>
              </w:rPr>
              <w:t xml:space="preserve">(15) calendar days prior to the </w:t>
            </w:r>
            <w:r w:rsidRPr="00B84B8F">
              <w:rPr>
                <w:rFonts w:ascii="Arial" w:hAnsi="Arial" w:cs="Arial"/>
                <w:sz w:val="24"/>
                <w:szCs w:val="24"/>
              </w:rPr>
              <w:lastRenderedPageBreak/>
              <w:t>date of expiry. The System Operator</w:t>
            </w:r>
            <w:r>
              <w:rPr>
                <w:rFonts w:ascii="Arial" w:hAnsi="Arial" w:cs="Arial"/>
                <w:sz w:val="24"/>
                <w:szCs w:val="24"/>
              </w:rPr>
              <w:t xml:space="preserve"> </w:t>
            </w:r>
            <w:r w:rsidRPr="00B84B8F">
              <w:rPr>
                <w:rFonts w:ascii="Arial" w:hAnsi="Arial" w:cs="Arial"/>
                <w:sz w:val="24"/>
                <w:szCs w:val="24"/>
              </w:rPr>
              <w:t>shall no longer impose over-riding constraints on the generating unit</w:t>
            </w:r>
            <w:r>
              <w:rPr>
                <w:rFonts w:ascii="Arial" w:hAnsi="Arial" w:cs="Arial"/>
                <w:sz w:val="24"/>
                <w:szCs w:val="24"/>
              </w:rPr>
              <w:t xml:space="preserve"> </w:t>
            </w:r>
            <w:r w:rsidRPr="00B84B8F">
              <w:rPr>
                <w:rFonts w:ascii="Arial" w:hAnsi="Arial" w:cs="Arial"/>
                <w:sz w:val="24"/>
                <w:szCs w:val="24"/>
              </w:rPr>
              <w:t>once the test and commissioning period ends.</w:t>
            </w:r>
          </w:p>
          <w:p w14:paraId="0B4989ED" w14:textId="77777777" w:rsidR="00B84B8F" w:rsidRDefault="00B84B8F" w:rsidP="00B84B8F">
            <w:pPr>
              <w:jc w:val="both"/>
              <w:rPr>
                <w:rFonts w:ascii="Arial" w:hAnsi="Arial" w:cs="Arial"/>
                <w:sz w:val="24"/>
                <w:szCs w:val="24"/>
              </w:rPr>
            </w:pPr>
          </w:p>
          <w:p w14:paraId="042508E3" w14:textId="77777777" w:rsidR="00B84B8F" w:rsidRDefault="00B84B8F" w:rsidP="00B84B8F">
            <w:pPr>
              <w:jc w:val="both"/>
              <w:rPr>
                <w:rFonts w:ascii="Arial" w:hAnsi="Arial" w:cs="Arial"/>
                <w:sz w:val="24"/>
                <w:szCs w:val="24"/>
              </w:rPr>
            </w:pPr>
          </w:p>
          <w:p w14:paraId="77D64EAC" w14:textId="77777777" w:rsidR="00B84B8F" w:rsidRDefault="00B84B8F" w:rsidP="00B84B8F">
            <w:pPr>
              <w:jc w:val="both"/>
              <w:rPr>
                <w:rFonts w:ascii="Arial" w:hAnsi="Arial" w:cs="Arial"/>
                <w:sz w:val="24"/>
                <w:szCs w:val="24"/>
              </w:rPr>
            </w:pPr>
          </w:p>
          <w:p w14:paraId="384CB6C6" w14:textId="77777777" w:rsidR="00B84B8F" w:rsidRDefault="00B84B8F" w:rsidP="00B84B8F">
            <w:pPr>
              <w:jc w:val="both"/>
              <w:rPr>
                <w:rFonts w:ascii="Arial" w:hAnsi="Arial" w:cs="Arial"/>
                <w:sz w:val="24"/>
                <w:szCs w:val="24"/>
              </w:rPr>
            </w:pPr>
          </w:p>
          <w:p w14:paraId="6A04CD76" w14:textId="77777777" w:rsidR="00B84B8F" w:rsidRDefault="00B84B8F" w:rsidP="00B84B8F">
            <w:pPr>
              <w:jc w:val="both"/>
              <w:rPr>
                <w:rFonts w:ascii="Arial" w:hAnsi="Arial" w:cs="Arial"/>
                <w:sz w:val="24"/>
                <w:szCs w:val="24"/>
              </w:rPr>
            </w:pPr>
          </w:p>
          <w:p w14:paraId="3B8737AA" w14:textId="77777777" w:rsidR="00B84B8F" w:rsidRDefault="00B84B8F" w:rsidP="00B84B8F">
            <w:pPr>
              <w:jc w:val="both"/>
              <w:rPr>
                <w:rFonts w:ascii="Arial" w:hAnsi="Arial" w:cs="Arial"/>
                <w:sz w:val="24"/>
                <w:szCs w:val="24"/>
              </w:rPr>
            </w:pPr>
          </w:p>
          <w:p w14:paraId="429FCFD3" w14:textId="77777777" w:rsidR="00B84B8F" w:rsidRDefault="00B84B8F" w:rsidP="00B84B8F">
            <w:pPr>
              <w:jc w:val="both"/>
              <w:rPr>
                <w:rFonts w:ascii="Arial" w:hAnsi="Arial" w:cs="Arial"/>
                <w:sz w:val="24"/>
                <w:szCs w:val="24"/>
              </w:rPr>
            </w:pPr>
          </w:p>
          <w:p w14:paraId="4D61751B" w14:textId="77777777" w:rsidR="00B84B8F" w:rsidRDefault="00B84B8F" w:rsidP="00B84B8F">
            <w:pPr>
              <w:jc w:val="both"/>
              <w:rPr>
                <w:rFonts w:ascii="Arial" w:hAnsi="Arial" w:cs="Arial"/>
                <w:sz w:val="24"/>
                <w:szCs w:val="24"/>
              </w:rPr>
            </w:pPr>
          </w:p>
          <w:p w14:paraId="70E50EB8" w14:textId="77777777" w:rsidR="00B84B8F" w:rsidRDefault="00B84B8F" w:rsidP="00B84B8F">
            <w:pPr>
              <w:jc w:val="both"/>
              <w:rPr>
                <w:rFonts w:ascii="Arial" w:hAnsi="Arial" w:cs="Arial"/>
                <w:sz w:val="24"/>
                <w:szCs w:val="24"/>
              </w:rPr>
            </w:pPr>
          </w:p>
          <w:p w14:paraId="35626830" w14:textId="4387E147" w:rsidR="00B84B8F" w:rsidRPr="00B84B8F" w:rsidRDefault="00B84B8F" w:rsidP="00B84B8F">
            <w:pPr>
              <w:spacing w:after="0" w:line="240" w:lineRule="auto"/>
              <w:jc w:val="both"/>
              <w:rPr>
                <w:rFonts w:ascii="Arial" w:hAnsi="Arial" w:cs="Arial"/>
                <w:sz w:val="24"/>
                <w:szCs w:val="24"/>
              </w:rPr>
            </w:pPr>
            <w:r>
              <w:rPr>
                <w:rFonts w:ascii="Arial" w:hAnsi="Arial" w:cs="Arial"/>
                <w:sz w:val="24"/>
                <w:szCs w:val="24"/>
              </w:rPr>
              <w:t xml:space="preserve">c) </w:t>
            </w:r>
            <w:r w:rsidRPr="00B84B8F">
              <w:rPr>
                <w:rFonts w:ascii="Arial" w:hAnsi="Arial" w:cs="Arial"/>
                <w:sz w:val="24"/>
                <w:szCs w:val="24"/>
              </w:rPr>
              <w:t>The WESM Member may submit an extended Provisional Certificate</w:t>
            </w:r>
            <w:r>
              <w:rPr>
                <w:rFonts w:ascii="Arial" w:hAnsi="Arial" w:cs="Arial"/>
                <w:sz w:val="24"/>
                <w:szCs w:val="24"/>
              </w:rPr>
              <w:t xml:space="preserve"> </w:t>
            </w:r>
            <w:r w:rsidRPr="00B84B8F">
              <w:rPr>
                <w:rFonts w:ascii="Arial" w:hAnsi="Arial" w:cs="Arial"/>
                <w:sz w:val="24"/>
                <w:szCs w:val="24"/>
              </w:rPr>
              <w:t>Approval to Connect to the Market Operator and System Operator for</w:t>
            </w:r>
            <w:r>
              <w:rPr>
                <w:rFonts w:ascii="Arial" w:hAnsi="Arial" w:cs="Arial"/>
                <w:sz w:val="24"/>
                <w:szCs w:val="24"/>
              </w:rPr>
              <w:t xml:space="preserve"> </w:t>
            </w:r>
            <w:r w:rsidRPr="00B84B8F">
              <w:rPr>
                <w:rFonts w:ascii="Arial" w:hAnsi="Arial" w:cs="Arial"/>
                <w:sz w:val="24"/>
                <w:szCs w:val="24"/>
              </w:rPr>
              <w:t>the extension of its test and commissioning period within three (3)</w:t>
            </w:r>
          </w:p>
          <w:p w14:paraId="4B3F3B36" w14:textId="77777777" w:rsidR="00B84B8F" w:rsidRDefault="00B84B8F" w:rsidP="00B84B8F">
            <w:pPr>
              <w:jc w:val="both"/>
              <w:rPr>
                <w:rFonts w:ascii="Arial" w:hAnsi="Arial" w:cs="Arial"/>
                <w:sz w:val="24"/>
                <w:szCs w:val="24"/>
              </w:rPr>
            </w:pPr>
            <w:r w:rsidRPr="00B84B8F">
              <w:rPr>
                <w:rFonts w:ascii="Arial" w:hAnsi="Arial" w:cs="Arial"/>
                <w:sz w:val="24"/>
                <w:szCs w:val="24"/>
              </w:rPr>
              <w:t>working days prior to original expiry date. Any unauthorized generation</w:t>
            </w:r>
            <w:r>
              <w:rPr>
                <w:rFonts w:ascii="Arial" w:hAnsi="Arial" w:cs="Arial"/>
                <w:sz w:val="24"/>
                <w:szCs w:val="24"/>
              </w:rPr>
              <w:t xml:space="preserve"> </w:t>
            </w:r>
            <w:r w:rsidRPr="00B84B8F">
              <w:rPr>
                <w:rFonts w:ascii="Arial" w:hAnsi="Arial" w:cs="Arial"/>
                <w:sz w:val="24"/>
                <w:szCs w:val="24"/>
              </w:rPr>
              <w:t>shall not be allowed to be declared as bilateral contract quantity and</w:t>
            </w:r>
            <w:r>
              <w:rPr>
                <w:rFonts w:ascii="Arial" w:hAnsi="Arial" w:cs="Arial"/>
                <w:sz w:val="24"/>
                <w:szCs w:val="24"/>
              </w:rPr>
              <w:t xml:space="preserve"> </w:t>
            </w:r>
            <w:r w:rsidRPr="00B84B8F">
              <w:rPr>
                <w:rFonts w:ascii="Arial" w:hAnsi="Arial" w:cs="Arial"/>
                <w:sz w:val="24"/>
                <w:szCs w:val="24"/>
              </w:rPr>
              <w:t>shall not be entitled to WESM payments in accordance with Section</w:t>
            </w:r>
            <w:r>
              <w:rPr>
                <w:rFonts w:ascii="Arial" w:hAnsi="Arial" w:cs="Arial"/>
                <w:sz w:val="24"/>
                <w:szCs w:val="24"/>
              </w:rPr>
              <w:t xml:space="preserve"> </w:t>
            </w:r>
            <w:r w:rsidRPr="00B84B8F">
              <w:rPr>
                <w:rFonts w:ascii="Arial" w:hAnsi="Arial" w:cs="Arial"/>
                <w:sz w:val="24"/>
                <w:szCs w:val="24"/>
              </w:rPr>
              <w:t>2.5.7.3(a). In case of failure to submit the extended PCATC to the</w:t>
            </w:r>
            <w:r>
              <w:rPr>
                <w:rFonts w:ascii="Arial" w:hAnsi="Arial" w:cs="Arial"/>
                <w:sz w:val="24"/>
                <w:szCs w:val="24"/>
              </w:rPr>
              <w:t xml:space="preserve"> </w:t>
            </w:r>
            <w:r w:rsidRPr="00B84B8F">
              <w:rPr>
                <w:rFonts w:ascii="Arial" w:hAnsi="Arial" w:cs="Arial"/>
                <w:sz w:val="24"/>
                <w:szCs w:val="24"/>
              </w:rPr>
              <w:t>Market Operator within three (3) working days prior to the original expiry</w:t>
            </w:r>
            <w:r>
              <w:rPr>
                <w:rFonts w:ascii="Arial" w:hAnsi="Arial" w:cs="Arial"/>
                <w:sz w:val="24"/>
                <w:szCs w:val="24"/>
              </w:rPr>
              <w:t xml:space="preserve"> </w:t>
            </w:r>
            <w:r w:rsidRPr="00B84B8F">
              <w:rPr>
                <w:rFonts w:ascii="Arial" w:hAnsi="Arial" w:cs="Arial"/>
                <w:sz w:val="24"/>
                <w:szCs w:val="24"/>
              </w:rPr>
              <w:t xml:space="preserve">date, </w:t>
            </w:r>
            <w:r w:rsidRPr="00B84B8F">
              <w:rPr>
                <w:rFonts w:ascii="Arial" w:hAnsi="Arial" w:cs="Arial"/>
                <w:sz w:val="24"/>
                <w:szCs w:val="24"/>
              </w:rPr>
              <w:lastRenderedPageBreak/>
              <w:t>the PCATC shall be deemed without effect after the expiry date.</w:t>
            </w:r>
          </w:p>
          <w:p w14:paraId="5688F09B" w14:textId="77777777" w:rsidR="00B84B8F" w:rsidRDefault="00B84B8F" w:rsidP="00B84B8F">
            <w:pPr>
              <w:jc w:val="both"/>
              <w:rPr>
                <w:rFonts w:ascii="Arial" w:hAnsi="Arial" w:cs="Arial"/>
                <w:sz w:val="24"/>
                <w:szCs w:val="24"/>
              </w:rPr>
            </w:pPr>
          </w:p>
          <w:p w14:paraId="7DD5E7B5" w14:textId="77777777" w:rsidR="00B84B8F" w:rsidRDefault="00B84B8F" w:rsidP="00B84B8F">
            <w:pPr>
              <w:jc w:val="both"/>
              <w:rPr>
                <w:rFonts w:ascii="Arial" w:hAnsi="Arial" w:cs="Arial"/>
                <w:sz w:val="24"/>
                <w:szCs w:val="24"/>
              </w:rPr>
            </w:pPr>
            <w:r>
              <w:rPr>
                <w:rFonts w:ascii="Arial" w:hAnsi="Arial" w:cs="Arial"/>
                <w:sz w:val="24"/>
                <w:szCs w:val="24"/>
              </w:rPr>
              <w:t xml:space="preserve">d) </w:t>
            </w:r>
            <w:r w:rsidRPr="00B84B8F">
              <w:rPr>
                <w:rFonts w:ascii="Arial" w:hAnsi="Arial" w:cs="Arial"/>
                <w:sz w:val="24"/>
                <w:szCs w:val="24"/>
              </w:rPr>
              <w:t>The Network Service Provider shall immediately inform the Market</w:t>
            </w:r>
            <w:r>
              <w:rPr>
                <w:rFonts w:ascii="Arial" w:hAnsi="Arial" w:cs="Arial"/>
                <w:sz w:val="24"/>
                <w:szCs w:val="24"/>
              </w:rPr>
              <w:t xml:space="preserve"> </w:t>
            </w:r>
            <w:r w:rsidRPr="00B84B8F">
              <w:rPr>
                <w:rFonts w:ascii="Arial" w:hAnsi="Arial" w:cs="Arial"/>
                <w:sz w:val="24"/>
                <w:szCs w:val="24"/>
              </w:rPr>
              <w:t>Operator of any suspended validity of PCATC due to failure of the</w:t>
            </w:r>
            <w:r>
              <w:rPr>
                <w:rFonts w:ascii="Arial" w:hAnsi="Arial" w:cs="Arial"/>
                <w:sz w:val="24"/>
                <w:szCs w:val="24"/>
              </w:rPr>
              <w:t xml:space="preserve"> </w:t>
            </w:r>
            <w:r w:rsidRPr="00B84B8F">
              <w:rPr>
                <w:rFonts w:ascii="Arial" w:hAnsi="Arial" w:cs="Arial"/>
                <w:sz w:val="24"/>
                <w:szCs w:val="24"/>
              </w:rPr>
              <w:t>generating facility to satisfy the grid connectivity parameters required</w:t>
            </w:r>
            <w:r>
              <w:rPr>
                <w:rFonts w:ascii="Arial" w:hAnsi="Arial" w:cs="Arial"/>
                <w:sz w:val="24"/>
                <w:szCs w:val="24"/>
              </w:rPr>
              <w:t xml:space="preserve"> </w:t>
            </w:r>
            <w:r w:rsidRPr="00B84B8F">
              <w:rPr>
                <w:rFonts w:ascii="Arial" w:hAnsi="Arial" w:cs="Arial"/>
                <w:sz w:val="24"/>
                <w:szCs w:val="24"/>
              </w:rPr>
              <w:t>by the PGC. Suspended PCATC shall observe Section 2.5.7.3 (a).</w:t>
            </w:r>
            <w:r>
              <w:rPr>
                <w:rFonts w:ascii="Arial" w:hAnsi="Arial" w:cs="Arial"/>
                <w:sz w:val="24"/>
                <w:szCs w:val="24"/>
              </w:rPr>
              <w:t xml:space="preserve"> </w:t>
            </w:r>
            <w:r w:rsidRPr="00B84B8F">
              <w:rPr>
                <w:rFonts w:ascii="Arial" w:hAnsi="Arial" w:cs="Arial"/>
                <w:sz w:val="24"/>
                <w:szCs w:val="24"/>
              </w:rPr>
              <w:t>Notwithstanding the suspension of the PCATC, an Extended PCATC</w:t>
            </w:r>
            <w:r>
              <w:rPr>
                <w:rFonts w:ascii="Arial" w:hAnsi="Arial" w:cs="Arial"/>
                <w:sz w:val="24"/>
                <w:szCs w:val="24"/>
              </w:rPr>
              <w:t xml:space="preserve"> </w:t>
            </w:r>
            <w:r w:rsidRPr="00B84B8F">
              <w:rPr>
                <w:rFonts w:ascii="Arial" w:hAnsi="Arial" w:cs="Arial"/>
                <w:sz w:val="24"/>
                <w:szCs w:val="24"/>
              </w:rPr>
              <w:t>shall be submitted within three (3) working days prior to original expiry</w:t>
            </w:r>
            <w:r>
              <w:rPr>
                <w:rFonts w:ascii="Arial" w:hAnsi="Arial" w:cs="Arial"/>
                <w:sz w:val="24"/>
                <w:szCs w:val="24"/>
              </w:rPr>
              <w:t xml:space="preserve"> </w:t>
            </w:r>
            <w:r w:rsidRPr="00B84B8F">
              <w:rPr>
                <w:rFonts w:ascii="Arial" w:hAnsi="Arial" w:cs="Arial"/>
                <w:sz w:val="24"/>
                <w:szCs w:val="24"/>
              </w:rPr>
              <w:t>of PCATC. Should the PCATC expire while the WESM Member is in the</w:t>
            </w:r>
            <w:r>
              <w:rPr>
                <w:rFonts w:ascii="Arial" w:hAnsi="Arial" w:cs="Arial"/>
                <w:sz w:val="24"/>
                <w:szCs w:val="24"/>
              </w:rPr>
              <w:t xml:space="preserve"> </w:t>
            </w:r>
            <w:r w:rsidRPr="00B84B8F">
              <w:rPr>
                <w:rFonts w:ascii="Arial" w:hAnsi="Arial" w:cs="Arial"/>
                <w:sz w:val="24"/>
                <w:szCs w:val="24"/>
              </w:rPr>
              <w:t>process of satisfying the grid connectivity parameters required by PGC</w:t>
            </w:r>
            <w:r>
              <w:rPr>
                <w:rFonts w:ascii="Arial" w:hAnsi="Arial" w:cs="Arial"/>
                <w:sz w:val="24"/>
                <w:szCs w:val="24"/>
              </w:rPr>
              <w:t xml:space="preserve"> </w:t>
            </w:r>
            <w:r w:rsidRPr="00B84B8F">
              <w:rPr>
                <w:rFonts w:ascii="Arial" w:hAnsi="Arial" w:cs="Arial"/>
                <w:sz w:val="24"/>
                <w:szCs w:val="24"/>
              </w:rPr>
              <w:t>or PDC, the process for the conduct of Test and Commissioning shall</w:t>
            </w:r>
            <w:r>
              <w:rPr>
                <w:rFonts w:ascii="Arial" w:hAnsi="Arial" w:cs="Arial"/>
                <w:sz w:val="24"/>
                <w:szCs w:val="24"/>
              </w:rPr>
              <w:t xml:space="preserve"> </w:t>
            </w:r>
            <w:r w:rsidRPr="00B84B8F">
              <w:rPr>
                <w:rFonts w:ascii="Arial" w:hAnsi="Arial" w:cs="Arial"/>
                <w:sz w:val="24"/>
                <w:szCs w:val="24"/>
              </w:rPr>
              <w:t>be reset.</w:t>
            </w:r>
          </w:p>
          <w:p w14:paraId="00F89271" w14:textId="77777777" w:rsidR="00B84B8F" w:rsidRDefault="00B84B8F" w:rsidP="00B84B8F">
            <w:pPr>
              <w:jc w:val="both"/>
              <w:rPr>
                <w:rFonts w:ascii="Arial" w:hAnsi="Arial" w:cs="Arial"/>
                <w:sz w:val="24"/>
                <w:szCs w:val="24"/>
              </w:rPr>
            </w:pPr>
          </w:p>
          <w:p w14:paraId="63F86641" w14:textId="77777777" w:rsidR="00B84B8F" w:rsidRDefault="00B84B8F" w:rsidP="00B84B8F">
            <w:pPr>
              <w:jc w:val="both"/>
              <w:rPr>
                <w:rFonts w:ascii="Arial" w:hAnsi="Arial" w:cs="Arial"/>
                <w:sz w:val="24"/>
                <w:szCs w:val="24"/>
              </w:rPr>
            </w:pPr>
            <w:r>
              <w:rPr>
                <w:rFonts w:ascii="Arial" w:hAnsi="Arial" w:cs="Arial"/>
                <w:sz w:val="24"/>
                <w:szCs w:val="24"/>
              </w:rPr>
              <w:t xml:space="preserve">e) </w:t>
            </w:r>
            <w:r w:rsidRPr="00B84B8F">
              <w:rPr>
                <w:rFonts w:ascii="Arial" w:hAnsi="Arial" w:cs="Arial"/>
                <w:sz w:val="24"/>
                <w:szCs w:val="24"/>
              </w:rPr>
              <w:t>In case of changes in capacity and capabilities of the generating unit</w:t>
            </w:r>
            <w:r>
              <w:rPr>
                <w:rFonts w:ascii="Arial" w:hAnsi="Arial" w:cs="Arial"/>
                <w:sz w:val="24"/>
                <w:szCs w:val="24"/>
              </w:rPr>
              <w:t xml:space="preserve"> </w:t>
            </w:r>
            <w:r w:rsidRPr="00B84B8F">
              <w:rPr>
                <w:rFonts w:ascii="Arial" w:hAnsi="Arial" w:cs="Arial"/>
                <w:sz w:val="24"/>
                <w:szCs w:val="24"/>
              </w:rPr>
              <w:t>arising from the results of test and commissioning, the WESM Member</w:t>
            </w:r>
            <w:r>
              <w:rPr>
                <w:rFonts w:ascii="Arial" w:hAnsi="Arial" w:cs="Arial"/>
                <w:sz w:val="24"/>
                <w:szCs w:val="24"/>
              </w:rPr>
              <w:t xml:space="preserve"> </w:t>
            </w:r>
            <w:r w:rsidRPr="00B84B8F">
              <w:rPr>
                <w:rFonts w:ascii="Arial" w:hAnsi="Arial" w:cs="Arial"/>
                <w:sz w:val="24"/>
                <w:szCs w:val="24"/>
              </w:rPr>
              <w:t>shall immediately inform the Market Operator for the purpose of</w:t>
            </w:r>
            <w:r>
              <w:rPr>
                <w:rFonts w:ascii="Arial" w:hAnsi="Arial" w:cs="Arial"/>
                <w:sz w:val="24"/>
                <w:szCs w:val="24"/>
              </w:rPr>
              <w:t xml:space="preserve"> </w:t>
            </w:r>
            <w:r w:rsidRPr="00B84B8F">
              <w:rPr>
                <w:rFonts w:ascii="Arial" w:hAnsi="Arial" w:cs="Arial"/>
                <w:sz w:val="24"/>
                <w:szCs w:val="24"/>
              </w:rPr>
              <w:t>updating its registration details.</w:t>
            </w:r>
          </w:p>
          <w:p w14:paraId="49BC91AC" w14:textId="77777777" w:rsidR="00B84B8F" w:rsidRDefault="00B84B8F" w:rsidP="00B84B8F">
            <w:pPr>
              <w:jc w:val="both"/>
              <w:rPr>
                <w:rFonts w:ascii="Arial" w:hAnsi="Arial" w:cs="Arial"/>
                <w:sz w:val="24"/>
                <w:szCs w:val="24"/>
              </w:rPr>
            </w:pPr>
          </w:p>
          <w:p w14:paraId="7F8074DF" w14:textId="77777777" w:rsidR="00B84B8F" w:rsidRDefault="00B84B8F" w:rsidP="00B84B8F">
            <w:pPr>
              <w:jc w:val="both"/>
              <w:rPr>
                <w:rFonts w:ascii="Arial" w:hAnsi="Arial" w:cs="Arial"/>
                <w:sz w:val="24"/>
                <w:szCs w:val="24"/>
              </w:rPr>
            </w:pPr>
          </w:p>
          <w:p w14:paraId="5C97FF9F" w14:textId="77777777" w:rsidR="00B84B8F" w:rsidRDefault="00B84B8F" w:rsidP="00B84B8F">
            <w:pPr>
              <w:jc w:val="both"/>
              <w:rPr>
                <w:rFonts w:ascii="Arial" w:hAnsi="Arial" w:cs="Arial"/>
                <w:sz w:val="24"/>
                <w:szCs w:val="24"/>
              </w:rPr>
            </w:pPr>
          </w:p>
          <w:p w14:paraId="1828CE4E" w14:textId="77777777" w:rsidR="00B84B8F" w:rsidRDefault="00B84B8F" w:rsidP="00B84B8F">
            <w:pPr>
              <w:jc w:val="both"/>
              <w:rPr>
                <w:rFonts w:ascii="Arial" w:hAnsi="Arial" w:cs="Arial"/>
                <w:sz w:val="24"/>
                <w:szCs w:val="24"/>
              </w:rPr>
            </w:pPr>
          </w:p>
          <w:p w14:paraId="5DC25C3F" w14:textId="77777777" w:rsidR="00B84B8F" w:rsidRDefault="00B84B8F" w:rsidP="00B84B8F">
            <w:pPr>
              <w:jc w:val="both"/>
              <w:rPr>
                <w:rFonts w:ascii="Arial" w:hAnsi="Arial" w:cs="Arial"/>
                <w:sz w:val="24"/>
                <w:szCs w:val="24"/>
              </w:rPr>
            </w:pPr>
          </w:p>
          <w:p w14:paraId="38EF2169" w14:textId="78A08C5B" w:rsidR="00B84B8F" w:rsidRPr="00B84B8F" w:rsidRDefault="00B84B8F" w:rsidP="00B84B8F">
            <w:pPr>
              <w:spacing w:after="0" w:line="240" w:lineRule="auto"/>
              <w:jc w:val="both"/>
              <w:rPr>
                <w:rFonts w:ascii="Arial" w:hAnsi="Arial" w:cs="Arial"/>
                <w:sz w:val="24"/>
                <w:szCs w:val="24"/>
              </w:rPr>
            </w:pPr>
            <w:r>
              <w:rPr>
                <w:rFonts w:ascii="Arial" w:hAnsi="Arial" w:cs="Arial"/>
                <w:sz w:val="24"/>
                <w:szCs w:val="24"/>
              </w:rPr>
              <w:t xml:space="preserve">f) </w:t>
            </w:r>
            <w:r w:rsidRPr="00B84B8F">
              <w:rPr>
                <w:rFonts w:ascii="Arial" w:hAnsi="Arial" w:cs="Arial"/>
                <w:sz w:val="24"/>
                <w:szCs w:val="24"/>
              </w:rPr>
              <w:t>The Network Service Provider of a generating unit shall furnish the ERC</w:t>
            </w:r>
          </w:p>
          <w:p w14:paraId="6C5D4E91" w14:textId="77777777" w:rsidR="00B84B8F" w:rsidRDefault="00B84B8F" w:rsidP="00B84B8F">
            <w:pPr>
              <w:jc w:val="both"/>
              <w:rPr>
                <w:rFonts w:ascii="Arial" w:hAnsi="Arial" w:cs="Arial"/>
                <w:sz w:val="24"/>
                <w:szCs w:val="24"/>
              </w:rPr>
            </w:pPr>
            <w:r w:rsidRPr="00B84B8F">
              <w:rPr>
                <w:rFonts w:ascii="Arial" w:hAnsi="Arial" w:cs="Arial"/>
                <w:sz w:val="24"/>
                <w:szCs w:val="24"/>
              </w:rPr>
              <w:t>and Market Operator a copy of the Final Certificate of Approval to</w:t>
            </w:r>
            <w:r>
              <w:rPr>
                <w:rFonts w:ascii="Arial" w:hAnsi="Arial" w:cs="Arial"/>
                <w:sz w:val="24"/>
                <w:szCs w:val="24"/>
              </w:rPr>
              <w:t xml:space="preserve"> </w:t>
            </w:r>
            <w:r w:rsidRPr="00B84B8F">
              <w:rPr>
                <w:rFonts w:ascii="Arial" w:hAnsi="Arial" w:cs="Arial"/>
                <w:sz w:val="24"/>
                <w:szCs w:val="24"/>
              </w:rPr>
              <w:t>Connect within three (3) calendar days from issuance thereof to the</w:t>
            </w:r>
            <w:r>
              <w:rPr>
                <w:rFonts w:ascii="Arial" w:hAnsi="Arial" w:cs="Arial"/>
                <w:sz w:val="24"/>
                <w:szCs w:val="24"/>
              </w:rPr>
              <w:t xml:space="preserve"> </w:t>
            </w:r>
            <w:r w:rsidRPr="00B84B8F">
              <w:rPr>
                <w:rFonts w:ascii="Arial" w:hAnsi="Arial" w:cs="Arial"/>
                <w:sz w:val="24"/>
                <w:szCs w:val="24"/>
              </w:rPr>
              <w:t>relevant WESM Member.</w:t>
            </w:r>
          </w:p>
          <w:p w14:paraId="46B3AB55" w14:textId="77777777" w:rsidR="00B84B8F" w:rsidRDefault="00B84B8F" w:rsidP="00B84B8F">
            <w:pPr>
              <w:jc w:val="both"/>
              <w:rPr>
                <w:rFonts w:ascii="Arial" w:hAnsi="Arial" w:cs="Arial"/>
                <w:sz w:val="24"/>
                <w:szCs w:val="24"/>
              </w:rPr>
            </w:pPr>
          </w:p>
          <w:p w14:paraId="7CFF85E6" w14:textId="77777777" w:rsidR="00B84B8F" w:rsidRDefault="00B84B8F" w:rsidP="00B84B8F">
            <w:pPr>
              <w:jc w:val="both"/>
              <w:rPr>
                <w:rFonts w:ascii="Arial" w:hAnsi="Arial" w:cs="Arial"/>
                <w:sz w:val="24"/>
                <w:szCs w:val="24"/>
              </w:rPr>
            </w:pPr>
          </w:p>
          <w:p w14:paraId="0DAE7789" w14:textId="77777777" w:rsidR="00B84B8F" w:rsidRDefault="00B84B8F" w:rsidP="00B84B8F">
            <w:pPr>
              <w:jc w:val="both"/>
              <w:rPr>
                <w:rFonts w:ascii="Arial" w:hAnsi="Arial" w:cs="Arial"/>
                <w:sz w:val="24"/>
                <w:szCs w:val="24"/>
              </w:rPr>
            </w:pPr>
          </w:p>
          <w:p w14:paraId="39AA2198" w14:textId="77777777" w:rsidR="00B84B8F" w:rsidRDefault="00B84B8F" w:rsidP="00B84B8F">
            <w:pPr>
              <w:jc w:val="both"/>
              <w:rPr>
                <w:rFonts w:ascii="Arial" w:hAnsi="Arial" w:cs="Arial"/>
                <w:sz w:val="24"/>
                <w:szCs w:val="24"/>
              </w:rPr>
            </w:pPr>
          </w:p>
          <w:p w14:paraId="3FFD00F3" w14:textId="77777777" w:rsidR="00B84B8F" w:rsidRDefault="00B84B8F" w:rsidP="00B84B8F">
            <w:pPr>
              <w:jc w:val="both"/>
              <w:rPr>
                <w:rFonts w:ascii="Arial" w:hAnsi="Arial" w:cs="Arial"/>
                <w:sz w:val="24"/>
                <w:szCs w:val="24"/>
              </w:rPr>
            </w:pPr>
          </w:p>
          <w:p w14:paraId="53943A7B" w14:textId="77777777" w:rsidR="00B84B8F" w:rsidRDefault="00B84B8F" w:rsidP="00B84B8F">
            <w:pPr>
              <w:jc w:val="both"/>
              <w:rPr>
                <w:rFonts w:ascii="Arial" w:hAnsi="Arial" w:cs="Arial"/>
                <w:sz w:val="24"/>
                <w:szCs w:val="24"/>
              </w:rPr>
            </w:pPr>
          </w:p>
          <w:p w14:paraId="71E27000" w14:textId="77777777" w:rsidR="00B84B8F" w:rsidRDefault="00B84B8F" w:rsidP="00B84B8F">
            <w:pPr>
              <w:jc w:val="both"/>
              <w:rPr>
                <w:rFonts w:ascii="Arial" w:hAnsi="Arial" w:cs="Arial"/>
                <w:sz w:val="24"/>
                <w:szCs w:val="24"/>
              </w:rPr>
            </w:pPr>
          </w:p>
          <w:p w14:paraId="01452F4D" w14:textId="77777777" w:rsidR="00B84B8F" w:rsidRDefault="00B84B8F" w:rsidP="00B84B8F">
            <w:pPr>
              <w:jc w:val="both"/>
              <w:rPr>
                <w:rFonts w:ascii="Arial" w:hAnsi="Arial" w:cs="Arial"/>
                <w:sz w:val="24"/>
                <w:szCs w:val="24"/>
              </w:rPr>
            </w:pPr>
          </w:p>
          <w:p w14:paraId="2FC2C02B" w14:textId="77777777" w:rsidR="00B84B8F" w:rsidRDefault="00B84B8F" w:rsidP="00B84B8F">
            <w:pPr>
              <w:jc w:val="both"/>
              <w:rPr>
                <w:rFonts w:ascii="Arial" w:hAnsi="Arial" w:cs="Arial"/>
                <w:sz w:val="24"/>
                <w:szCs w:val="24"/>
              </w:rPr>
            </w:pPr>
          </w:p>
          <w:p w14:paraId="534ADDCD" w14:textId="77777777" w:rsidR="00B84B8F" w:rsidRDefault="00B84B8F" w:rsidP="00B84B8F">
            <w:pPr>
              <w:jc w:val="both"/>
              <w:rPr>
                <w:rFonts w:ascii="Arial" w:hAnsi="Arial" w:cs="Arial"/>
                <w:sz w:val="24"/>
                <w:szCs w:val="24"/>
              </w:rPr>
            </w:pPr>
          </w:p>
          <w:p w14:paraId="697241F7" w14:textId="79CA7B4E" w:rsidR="00B84B8F" w:rsidRPr="00691003" w:rsidRDefault="00B84B8F" w:rsidP="00B84B8F">
            <w:pPr>
              <w:jc w:val="both"/>
              <w:rPr>
                <w:rFonts w:ascii="Arial" w:hAnsi="Arial" w:cs="Arial"/>
                <w:sz w:val="24"/>
                <w:szCs w:val="24"/>
              </w:rPr>
            </w:pPr>
            <w:r>
              <w:rPr>
                <w:rFonts w:ascii="Arial" w:hAnsi="Arial" w:cs="Arial"/>
                <w:sz w:val="24"/>
                <w:szCs w:val="24"/>
              </w:rPr>
              <w:t xml:space="preserve">g) </w:t>
            </w:r>
            <w:r w:rsidRPr="00B84B8F">
              <w:rPr>
                <w:rFonts w:ascii="Arial" w:hAnsi="Arial" w:cs="Arial"/>
                <w:sz w:val="24"/>
                <w:szCs w:val="24"/>
              </w:rPr>
              <w:t>The WESM Member of a generating unit shall submit to the Market</w:t>
            </w:r>
            <w:r>
              <w:rPr>
                <w:rFonts w:ascii="Arial" w:hAnsi="Arial" w:cs="Arial"/>
                <w:sz w:val="24"/>
                <w:szCs w:val="24"/>
              </w:rPr>
              <w:t xml:space="preserve"> </w:t>
            </w:r>
            <w:r w:rsidRPr="00B84B8F">
              <w:rPr>
                <w:rFonts w:ascii="Arial" w:hAnsi="Arial" w:cs="Arial"/>
                <w:sz w:val="24"/>
                <w:szCs w:val="24"/>
              </w:rPr>
              <w:t>Operator an application for Commercial Operations Registration within</w:t>
            </w:r>
            <w:r>
              <w:rPr>
                <w:rFonts w:ascii="Arial" w:hAnsi="Arial" w:cs="Arial"/>
                <w:sz w:val="24"/>
                <w:szCs w:val="24"/>
              </w:rPr>
              <w:t xml:space="preserve"> </w:t>
            </w:r>
            <w:r w:rsidRPr="00B84B8F">
              <w:rPr>
                <w:rFonts w:ascii="Arial" w:hAnsi="Arial" w:cs="Arial"/>
                <w:sz w:val="24"/>
                <w:szCs w:val="24"/>
              </w:rPr>
              <w:t>three (3) working days from receipt of its Certificate of Compliance or</w:t>
            </w:r>
            <w:r>
              <w:rPr>
                <w:rFonts w:ascii="Arial" w:hAnsi="Arial" w:cs="Arial"/>
                <w:sz w:val="24"/>
                <w:szCs w:val="24"/>
              </w:rPr>
              <w:t xml:space="preserve"> </w:t>
            </w:r>
            <w:r w:rsidRPr="00B84B8F">
              <w:rPr>
                <w:rFonts w:ascii="Arial" w:hAnsi="Arial" w:cs="Arial"/>
                <w:sz w:val="24"/>
                <w:szCs w:val="24"/>
              </w:rPr>
              <w:t>Provisional Authority to Operate (PAO).</w:t>
            </w:r>
          </w:p>
        </w:tc>
        <w:tc>
          <w:tcPr>
            <w:tcW w:w="1306" w:type="pct"/>
          </w:tcPr>
          <w:p w14:paraId="2AA678C1" w14:textId="50B47115" w:rsidR="00814FC0" w:rsidRDefault="00814FC0" w:rsidP="00814FC0">
            <w:pPr>
              <w:jc w:val="both"/>
              <w:rPr>
                <w:rFonts w:ascii="Arial" w:hAnsi="Arial" w:cs="Arial"/>
                <w:bCs/>
                <w:sz w:val="24"/>
                <w:szCs w:val="24"/>
              </w:rPr>
            </w:pPr>
            <w:r w:rsidRPr="00814FC0">
              <w:rPr>
                <w:rFonts w:ascii="Arial" w:hAnsi="Arial" w:cs="Arial"/>
                <w:bCs/>
                <w:sz w:val="24"/>
                <w:szCs w:val="24"/>
              </w:rPr>
              <w:lastRenderedPageBreak/>
              <w:t>Guidelines for Test and Commissioning Registration</w:t>
            </w:r>
          </w:p>
          <w:p w14:paraId="3563159C" w14:textId="77777777" w:rsidR="00814FC0" w:rsidRPr="00814FC0" w:rsidRDefault="00814FC0" w:rsidP="00814FC0">
            <w:pPr>
              <w:jc w:val="both"/>
              <w:rPr>
                <w:rFonts w:ascii="Arial" w:hAnsi="Arial" w:cs="Arial"/>
                <w:bCs/>
                <w:sz w:val="24"/>
                <w:szCs w:val="24"/>
              </w:rPr>
            </w:pPr>
          </w:p>
          <w:p w14:paraId="4F734021" w14:textId="7BB7A5CD" w:rsidR="00814FC0" w:rsidRPr="00814FC0" w:rsidRDefault="00814FC0" w:rsidP="00814FC0">
            <w:pPr>
              <w:jc w:val="both"/>
              <w:rPr>
                <w:rFonts w:ascii="Arial" w:hAnsi="Arial" w:cs="Arial"/>
                <w:bCs/>
                <w:sz w:val="24"/>
                <w:szCs w:val="24"/>
              </w:rPr>
            </w:pPr>
            <w:r w:rsidRPr="00814FC0">
              <w:rPr>
                <w:rFonts w:ascii="Arial" w:hAnsi="Arial" w:cs="Arial"/>
                <w:bCs/>
                <w:sz w:val="24"/>
                <w:szCs w:val="24"/>
              </w:rPr>
              <w:t>a)</w:t>
            </w:r>
            <w:r w:rsidR="00B84B8F">
              <w:rPr>
                <w:rFonts w:ascii="Arial" w:hAnsi="Arial" w:cs="Arial"/>
                <w:bCs/>
                <w:sz w:val="24"/>
                <w:szCs w:val="24"/>
              </w:rPr>
              <w:t xml:space="preserve"> </w:t>
            </w:r>
            <w:r w:rsidRPr="00814FC0">
              <w:rPr>
                <w:rFonts w:ascii="Arial" w:hAnsi="Arial" w:cs="Arial"/>
                <w:bCs/>
                <w:sz w:val="24"/>
                <w:szCs w:val="24"/>
              </w:rPr>
              <w:t xml:space="preserve">The WESM Member shall be allowed to declare bilateral contract quantities for its </w:t>
            </w:r>
            <w:r w:rsidRPr="00814FC0">
              <w:rPr>
                <w:rFonts w:ascii="Arial" w:hAnsi="Arial" w:cs="Arial"/>
                <w:bCs/>
                <w:sz w:val="24"/>
                <w:szCs w:val="24"/>
              </w:rPr>
              <w:lastRenderedPageBreak/>
              <w:t>generating unit and be entitled to WESM payments for its generated output only:</w:t>
            </w:r>
          </w:p>
          <w:p w14:paraId="13701ECA" w14:textId="77777777" w:rsidR="00814FC0" w:rsidRPr="00814FC0" w:rsidRDefault="00814FC0" w:rsidP="00814FC0">
            <w:pPr>
              <w:jc w:val="both"/>
              <w:rPr>
                <w:rFonts w:ascii="Arial" w:hAnsi="Arial" w:cs="Arial"/>
                <w:bCs/>
                <w:sz w:val="24"/>
                <w:szCs w:val="24"/>
              </w:rPr>
            </w:pPr>
          </w:p>
          <w:p w14:paraId="4F59D4F8" w14:textId="537333AF" w:rsidR="00814FC0" w:rsidRPr="00B84B8F" w:rsidRDefault="00814FC0" w:rsidP="00B84B8F">
            <w:pPr>
              <w:pStyle w:val="ListParagraph"/>
              <w:numPr>
                <w:ilvl w:val="0"/>
                <w:numId w:val="14"/>
              </w:numPr>
              <w:ind w:left="461" w:hanging="425"/>
              <w:jc w:val="both"/>
              <w:rPr>
                <w:rFonts w:ascii="Arial" w:hAnsi="Arial" w:cs="Arial"/>
                <w:bCs/>
                <w:szCs w:val="24"/>
              </w:rPr>
            </w:pPr>
            <w:r w:rsidRPr="00B84B8F">
              <w:rPr>
                <w:rFonts w:ascii="Arial" w:hAnsi="Arial" w:cs="Arial"/>
                <w:bCs/>
                <w:szCs w:val="24"/>
              </w:rPr>
              <w:t>within the test and commissioning period indicated in the valid Provisional Certificate of Approval to Connect (PCATC) issued by the Network Service Provider or until completion of the conduct of test and commissioning, if completed earlier; or</w:t>
            </w:r>
          </w:p>
          <w:p w14:paraId="0ADCCB62" w14:textId="77777777" w:rsidR="00B84B8F" w:rsidRPr="00B84B8F" w:rsidRDefault="00B84B8F" w:rsidP="00B84B8F">
            <w:pPr>
              <w:pStyle w:val="ListParagraph"/>
              <w:ind w:left="1080"/>
              <w:jc w:val="both"/>
              <w:rPr>
                <w:rFonts w:ascii="Arial" w:hAnsi="Arial" w:cs="Arial"/>
                <w:bCs/>
                <w:szCs w:val="24"/>
              </w:rPr>
            </w:pPr>
          </w:p>
          <w:p w14:paraId="444C00AA" w14:textId="09095970" w:rsidR="00814FC0" w:rsidRPr="00814FC0" w:rsidRDefault="00814FC0" w:rsidP="00B84B8F">
            <w:pPr>
              <w:pStyle w:val="ListParagraph"/>
              <w:numPr>
                <w:ilvl w:val="0"/>
                <w:numId w:val="14"/>
              </w:numPr>
              <w:ind w:left="461" w:hanging="425"/>
              <w:jc w:val="both"/>
              <w:rPr>
                <w:rFonts w:ascii="Arial" w:hAnsi="Arial" w:cs="Arial"/>
                <w:bCs/>
                <w:szCs w:val="24"/>
              </w:rPr>
            </w:pPr>
            <w:r w:rsidRPr="00814FC0">
              <w:rPr>
                <w:rFonts w:ascii="Arial" w:hAnsi="Arial" w:cs="Arial"/>
                <w:bCs/>
                <w:szCs w:val="24"/>
              </w:rPr>
              <w:t xml:space="preserve">when the WESM Member is issued a FCATC by the Network Service Provider pending the issuance of the Certificate of Compliance by the Energy Regulatory </w:t>
            </w:r>
            <w:proofErr w:type="gramStart"/>
            <w:r w:rsidRPr="00814FC0">
              <w:rPr>
                <w:rFonts w:ascii="Arial" w:hAnsi="Arial" w:cs="Arial"/>
                <w:bCs/>
                <w:szCs w:val="24"/>
              </w:rPr>
              <w:t>Commission, unless</w:t>
            </w:r>
            <w:proofErr w:type="gramEnd"/>
            <w:r w:rsidRPr="00814FC0">
              <w:rPr>
                <w:rFonts w:ascii="Arial" w:hAnsi="Arial" w:cs="Arial"/>
                <w:bCs/>
                <w:szCs w:val="24"/>
              </w:rPr>
              <w:t xml:space="preserve"> the latter issues an Order for the immediate disconnection of the generating unit from the Grid.</w:t>
            </w:r>
          </w:p>
          <w:p w14:paraId="32C25A0B" w14:textId="7EC1CDD8" w:rsidR="00814FC0" w:rsidRDefault="00814FC0" w:rsidP="00814FC0">
            <w:pPr>
              <w:jc w:val="both"/>
              <w:rPr>
                <w:rFonts w:ascii="Arial" w:hAnsi="Arial" w:cs="Arial"/>
                <w:bCs/>
                <w:sz w:val="24"/>
                <w:szCs w:val="24"/>
              </w:rPr>
            </w:pPr>
          </w:p>
          <w:p w14:paraId="6C02C623" w14:textId="4178117E" w:rsidR="00B84B8F" w:rsidRDefault="00B84B8F" w:rsidP="00814FC0">
            <w:pPr>
              <w:jc w:val="both"/>
              <w:rPr>
                <w:rFonts w:ascii="Arial" w:hAnsi="Arial" w:cs="Arial"/>
                <w:bCs/>
                <w:sz w:val="24"/>
                <w:szCs w:val="24"/>
              </w:rPr>
            </w:pPr>
          </w:p>
          <w:p w14:paraId="3643F474" w14:textId="6805CC45" w:rsidR="00B84B8F" w:rsidRDefault="00B84B8F" w:rsidP="00814FC0">
            <w:pPr>
              <w:jc w:val="both"/>
              <w:rPr>
                <w:rFonts w:ascii="Arial" w:hAnsi="Arial" w:cs="Arial"/>
                <w:bCs/>
                <w:sz w:val="24"/>
                <w:szCs w:val="24"/>
              </w:rPr>
            </w:pPr>
          </w:p>
          <w:p w14:paraId="417A73DE" w14:textId="11BBEEB5" w:rsidR="00B84B8F" w:rsidRDefault="00B84B8F" w:rsidP="00814FC0">
            <w:pPr>
              <w:jc w:val="both"/>
              <w:rPr>
                <w:rFonts w:ascii="Arial" w:hAnsi="Arial" w:cs="Arial"/>
                <w:bCs/>
                <w:sz w:val="24"/>
                <w:szCs w:val="24"/>
              </w:rPr>
            </w:pPr>
          </w:p>
          <w:p w14:paraId="71C14E2C" w14:textId="1FE0E592" w:rsidR="00B84B8F" w:rsidRDefault="00B84B8F" w:rsidP="00814FC0">
            <w:pPr>
              <w:jc w:val="both"/>
              <w:rPr>
                <w:rFonts w:ascii="Arial" w:hAnsi="Arial" w:cs="Arial"/>
                <w:bCs/>
                <w:sz w:val="24"/>
                <w:szCs w:val="24"/>
              </w:rPr>
            </w:pPr>
          </w:p>
          <w:p w14:paraId="11D3E7FC" w14:textId="09776F24" w:rsidR="00B84B8F" w:rsidRDefault="00B84B8F" w:rsidP="00814FC0">
            <w:pPr>
              <w:jc w:val="both"/>
              <w:rPr>
                <w:rFonts w:ascii="Arial" w:hAnsi="Arial" w:cs="Arial"/>
                <w:bCs/>
                <w:sz w:val="24"/>
                <w:szCs w:val="24"/>
              </w:rPr>
            </w:pPr>
          </w:p>
          <w:p w14:paraId="65051B21"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b)</w:t>
            </w:r>
            <w:r w:rsidRPr="00814FC0">
              <w:rPr>
                <w:rFonts w:ascii="Arial" w:hAnsi="Arial" w:cs="Arial"/>
                <w:bCs/>
                <w:sz w:val="24"/>
                <w:szCs w:val="24"/>
              </w:rPr>
              <w:tab/>
              <w:t xml:space="preserve">In the absence of the requirement or condition set forth in this section, except for its own station use, generation beyond the authorized period of test and commissioning shall not be allowed, </w:t>
            </w:r>
            <w:r w:rsidRPr="00814FC0">
              <w:rPr>
                <w:rFonts w:ascii="Arial" w:hAnsi="Arial" w:cs="Arial"/>
                <w:bCs/>
                <w:sz w:val="24"/>
                <w:szCs w:val="24"/>
              </w:rPr>
              <w:lastRenderedPageBreak/>
              <w:t>unless an extended period has been approved by the Network Service Provider. Neither shall such generation be declared as a bilateral contract quantity nor shall it be entitled to WESM payments. Any net surplus as a result of injected energy from unauthorized test and commissioning activity or operation will be treated in accordance with WESM Rules Clause 3.13.12. However, the WESM Member shall still be charged for all withdrawals from the grid or distribution network, as the case may be.</w:t>
            </w:r>
          </w:p>
          <w:p w14:paraId="0FEEB79A" w14:textId="77777777" w:rsidR="00814FC0" w:rsidRPr="00814FC0" w:rsidRDefault="00814FC0" w:rsidP="00814FC0">
            <w:pPr>
              <w:jc w:val="both"/>
              <w:rPr>
                <w:rFonts w:ascii="Arial" w:hAnsi="Arial" w:cs="Arial"/>
                <w:bCs/>
                <w:sz w:val="24"/>
                <w:szCs w:val="24"/>
              </w:rPr>
            </w:pPr>
          </w:p>
          <w:p w14:paraId="54065707" w14:textId="337582A1" w:rsidR="00814FC0" w:rsidRDefault="00814FC0" w:rsidP="00814FC0">
            <w:pPr>
              <w:jc w:val="both"/>
              <w:rPr>
                <w:rFonts w:ascii="Arial" w:hAnsi="Arial" w:cs="Arial"/>
                <w:bCs/>
                <w:sz w:val="24"/>
                <w:szCs w:val="24"/>
              </w:rPr>
            </w:pPr>
            <w:r w:rsidRPr="00814FC0">
              <w:rPr>
                <w:rFonts w:ascii="Arial" w:hAnsi="Arial" w:cs="Arial"/>
                <w:bCs/>
                <w:sz w:val="24"/>
                <w:szCs w:val="24"/>
              </w:rPr>
              <w:t>c)</w:t>
            </w:r>
            <w:r w:rsidRPr="00814FC0">
              <w:rPr>
                <w:rFonts w:ascii="Arial" w:hAnsi="Arial" w:cs="Arial"/>
                <w:bCs/>
                <w:sz w:val="24"/>
                <w:szCs w:val="24"/>
              </w:rPr>
              <w:tab/>
              <w:t>The Market Operator shall notify the WESM Member, copy furnished the System Operator, of the expiration of its PCATC fifteen (15) calendar days prior to the date of expiry.</w:t>
            </w:r>
          </w:p>
          <w:p w14:paraId="3E213886" w14:textId="1B8244F3" w:rsidR="00B84B8F" w:rsidRDefault="00B84B8F" w:rsidP="00814FC0">
            <w:pPr>
              <w:jc w:val="both"/>
              <w:rPr>
                <w:rFonts w:ascii="Arial" w:hAnsi="Arial" w:cs="Arial"/>
                <w:bCs/>
                <w:sz w:val="24"/>
                <w:szCs w:val="24"/>
              </w:rPr>
            </w:pPr>
          </w:p>
          <w:p w14:paraId="6F9BD0B4" w14:textId="47A26C98" w:rsidR="00B84B8F" w:rsidRDefault="00B84B8F" w:rsidP="00814FC0">
            <w:pPr>
              <w:jc w:val="both"/>
              <w:rPr>
                <w:rFonts w:ascii="Arial" w:hAnsi="Arial" w:cs="Arial"/>
                <w:bCs/>
                <w:sz w:val="24"/>
                <w:szCs w:val="24"/>
              </w:rPr>
            </w:pPr>
          </w:p>
          <w:p w14:paraId="3D2CEFF1" w14:textId="7FFDB987" w:rsidR="00B84B8F" w:rsidRDefault="00B84B8F" w:rsidP="00814FC0">
            <w:pPr>
              <w:jc w:val="both"/>
              <w:rPr>
                <w:rFonts w:ascii="Arial" w:hAnsi="Arial" w:cs="Arial"/>
                <w:bCs/>
                <w:sz w:val="24"/>
                <w:szCs w:val="24"/>
              </w:rPr>
            </w:pPr>
          </w:p>
          <w:p w14:paraId="43C36D19" w14:textId="3B3D3811" w:rsidR="00B84B8F" w:rsidRDefault="00B84B8F" w:rsidP="00814FC0">
            <w:pPr>
              <w:jc w:val="both"/>
              <w:rPr>
                <w:rFonts w:ascii="Arial" w:hAnsi="Arial" w:cs="Arial"/>
                <w:bCs/>
                <w:sz w:val="24"/>
                <w:szCs w:val="24"/>
              </w:rPr>
            </w:pPr>
          </w:p>
          <w:p w14:paraId="369CB1CD" w14:textId="345DE635" w:rsidR="00B84B8F" w:rsidRDefault="00B84B8F" w:rsidP="00814FC0">
            <w:pPr>
              <w:jc w:val="both"/>
              <w:rPr>
                <w:rFonts w:ascii="Arial" w:hAnsi="Arial" w:cs="Arial"/>
                <w:bCs/>
                <w:sz w:val="24"/>
                <w:szCs w:val="24"/>
              </w:rPr>
            </w:pPr>
          </w:p>
          <w:p w14:paraId="115545D7" w14:textId="0F6500A1" w:rsidR="00B84B8F" w:rsidRDefault="00B84B8F" w:rsidP="00814FC0">
            <w:pPr>
              <w:jc w:val="both"/>
              <w:rPr>
                <w:rFonts w:ascii="Arial" w:hAnsi="Arial" w:cs="Arial"/>
                <w:bCs/>
                <w:sz w:val="24"/>
                <w:szCs w:val="24"/>
              </w:rPr>
            </w:pPr>
          </w:p>
          <w:p w14:paraId="30D5EAD2" w14:textId="199E34F6" w:rsidR="00B84B8F" w:rsidRDefault="00B84B8F" w:rsidP="00814FC0">
            <w:pPr>
              <w:jc w:val="both"/>
              <w:rPr>
                <w:rFonts w:ascii="Arial" w:hAnsi="Arial" w:cs="Arial"/>
                <w:bCs/>
                <w:sz w:val="24"/>
                <w:szCs w:val="24"/>
              </w:rPr>
            </w:pPr>
          </w:p>
          <w:p w14:paraId="65627D75" w14:textId="0E73E545" w:rsidR="00B84B8F" w:rsidRDefault="00B84B8F" w:rsidP="00814FC0">
            <w:pPr>
              <w:jc w:val="both"/>
              <w:rPr>
                <w:rFonts w:ascii="Arial" w:hAnsi="Arial" w:cs="Arial"/>
                <w:bCs/>
                <w:sz w:val="24"/>
                <w:szCs w:val="24"/>
              </w:rPr>
            </w:pPr>
          </w:p>
          <w:p w14:paraId="0F2F53E6" w14:textId="25B24B24" w:rsidR="00B84B8F" w:rsidRDefault="00B84B8F" w:rsidP="00814FC0">
            <w:pPr>
              <w:jc w:val="both"/>
              <w:rPr>
                <w:rFonts w:ascii="Arial" w:hAnsi="Arial" w:cs="Arial"/>
                <w:bCs/>
                <w:sz w:val="24"/>
                <w:szCs w:val="24"/>
              </w:rPr>
            </w:pPr>
          </w:p>
          <w:p w14:paraId="43F95A7A" w14:textId="5010CF37" w:rsidR="00B84B8F" w:rsidRDefault="00B84B8F" w:rsidP="00814FC0">
            <w:pPr>
              <w:jc w:val="both"/>
              <w:rPr>
                <w:rFonts w:ascii="Arial" w:hAnsi="Arial" w:cs="Arial"/>
                <w:bCs/>
                <w:sz w:val="24"/>
                <w:szCs w:val="24"/>
              </w:rPr>
            </w:pPr>
          </w:p>
          <w:p w14:paraId="2FEA431A" w14:textId="491D1948" w:rsidR="00B84B8F" w:rsidRDefault="00B84B8F" w:rsidP="00814FC0">
            <w:pPr>
              <w:jc w:val="both"/>
              <w:rPr>
                <w:rFonts w:ascii="Arial" w:hAnsi="Arial" w:cs="Arial"/>
                <w:bCs/>
                <w:sz w:val="24"/>
                <w:szCs w:val="24"/>
              </w:rPr>
            </w:pPr>
          </w:p>
          <w:p w14:paraId="7C5FBB04" w14:textId="77777777" w:rsidR="00B84B8F" w:rsidRPr="00814FC0" w:rsidRDefault="00B84B8F" w:rsidP="00814FC0">
            <w:pPr>
              <w:jc w:val="both"/>
              <w:rPr>
                <w:rFonts w:ascii="Arial" w:hAnsi="Arial" w:cs="Arial"/>
                <w:bCs/>
                <w:sz w:val="24"/>
                <w:szCs w:val="24"/>
              </w:rPr>
            </w:pPr>
          </w:p>
          <w:p w14:paraId="12457758" w14:textId="77777777" w:rsidR="00814FC0" w:rsidRPr="00814FC0" w:rsidRDefault="00814FC0" w:rsidP="00814FC0">
            <w:pPr>
              <w:jc w:val="both"/>
              <w:rPr>
                <w:rFonts w:ascii="Arial" w:hAnsi="Arial" w:cs="Arial"/>
                <w:bCs/>
                <w:sz w:val="24"/>
                <w:szCs w:val="24"/>
              </w:rPr>
            </w:pPr>
          </w:p>
          <w:p w14:paraId="0E002F9B"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d)</w:t>
            </w:r>
            <w:r w:rsidRPr="00814FC0">
              <w:rPr>
                <w:rFonts w:ascii="Arial" w:hAnsi="Arial" w:cs="Arial"/>
                <w:bCs/>
                <w:sz w:val="24"/>
                <w:szCs w:val="24"/>
              </w:rPr>
              <w:tab/>
              <w:t>In case the test and commissioning cannot be completed by the expiry date of the PCATC for technical or other reasons attributable to the WESM Member, the WESM Member may submit a request for extension of its test and commissioning to the Network Service Provider, copy furnished the Market Operator, within three (3) working days prior to original expiration date of its PCATC. The Network Service Provider shall act on the request for extension not later that the expiration date, and as applicable issue an extension of the PCATC to the WESM Member, copy furnished the Market Operator.</w:t>
            </w:r>
          </w:p>
          <w:p w14:paraId="382F0F79" w14:textId="1C6D6F74" w:rsidR="00814FC0" w:rsidRDefault="00814FC0" w:rsidP="00814FC0">
            <w:pPr>
              <w:jc w:val="both"/>
              <w:rPr>
                <w:rFonts w:ascii="Arial" w:hAnsi="Arial" w:cs="Arial"/>
                <w:bCs/>
                <w:sz w:val="24"/>
                <w:szCs w:val="24"/>
              </w:rPr>
            </w:pPr>
          </w:p>
          <w:p w14:paraId="2D598008" w14:textId="5D918EA8" w:rsidR="00B84B8F" w:rsidRDefault="00B84B8F" w:rsidP="00814FC0">
            <w:pPr>
              <w:jc w:val="both"/>
              <w:rPr>
                <w:rFonts w:ascii="Arial" w:hAnsi="Arial" w:cs="Arial"/>
                <w:bCs/>
                <w:sz w:val="24"/>
                <w:szCs w:val="24"/>
              </w:rPr>
            </w:pPr>
          </w:p>
          <w:p w14:paraId="341A99C3" w14:textId="7B899E03" w:rsidR="00B84B8F" w:rsidRDefault="00B84B8F" w:rsidP="00814FC0">
            <w:pPr>
              <w:jc w:val="both"/>
              <w:rPr>
                <w:rFonts w:ascii="Arial" w:hAnsi="Arial" w:cs="Arial"/>
                <w:bCs/>
                <w:sz w:val="24"/>
                <w:szCs w:val="24"/>
              </w:rPr>
            </w:pPr>
          </w:p>
          <w:p w14:paraId="697FC090" w14:textId="77777777" w:rsidR="00B84B8F" w:rsidRPr="00814FC0" w:rsidRDefault="00B84B8F" w:rsidP="00814FC0">
            <w:pPr>
              <w:jc w:val="both"/>
              <w:rPr>
                <w:rFonts w:ascii="Arial" w:hAnsi="Arial" w:cs="Arial"/>
                <w:bCs/>
                <w:sz w:val="24"/>
                <w:szCs w:val="24"/>
              </w:rPr>
            </w:pPr>
          </w:p>
          <w:p w14:paraId="00715759"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e)</w:t>
            </w:r>
            <w:r w:rsidRPr="00814FC0">
              <w:rPr>
                <w:rFonts w:ascii="Arial" w:hAnsi="Arial" w:cs="Arial"/>
                <w:bCs/>
                <w:sz w:val="24"/>
                <w:szCs w:val="24"/>
              </w:rPr>
              <w:tab/>
              <w:t xml:space="preserve">In case the Network Service Provide did not issue an extended PCATC to the Market Operator, the PCATC shall be deemed without effect after the expiry date and the System Operator shall no longer impose over-riding constraints on the generating unit. Any unauthorized generation shall not be allowed to be declared as bilateral contract quantity and shall not be entitled to WESM payments in </w:t>
            </w:r>
            <w:r w:rsidRPr="00814FC0">
              <w:rPr>
                <w:rFonts w:ascii="Arial" w:hAnsi="Arial" w:cs="Arial"/>
                <w:bCs/>
                <w:sz w:val="24"/>
                <w:szCs w:val="24"/>
              </w:rPr>
              <w:lastRenderedPageBreak/>
              <w:t>accordance with Section 2.5.7.3 (a) and (b).</w:t>
            </w:r>
          </w:p>
          <w:p w14:paraId="1730A243" w14:textId="77777777" w:rsidR="00814FC0" w:rsidRPr="00814FC0" w:rsidRDefault="00814FC0" w:rsidP="00814FC0">
            <w:pPr>
              <w:jc w:val="both"/>
              <w:rPr>
                <w:rFonts w:ascii="Arial" w:hAnsi="Arial" w:cs="Arial"/>
                <w:bCs/>
                <w:sz w:val="24"/>
                <w:szCs w:val="24"/>
              </w:rPr>
            </w:pPr>
          </w:p>
          <w:p w14:paraId="3FCDAF45"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f)</w:t>
            </w:r>
            <w:r w:rsidRPr="00814FC0">
              <w:rPr>
                <w:rFonts w:ascii="Arial" w:hAnsi="Arial" w:cs="Arial"/>
                <w:bCs/>
                <w:sz w:val="24"/>
                <w:szCs w:val="24"/>
              </w:rPr>
              <w:tab/>
              <w:t>The Network Service Provider shall immediately inform the Market Operator of any suspended validity of PCATC due to failure of the generating facility to satisfy the grid connectivity parameters required by the PGC. Suspended PCATC shall observe Section 2.5.7.3 (a) and (b). Notwithstanding the suspension of the PCATC, an Extended PCATC shall be submitted within three (3) working days prior to original expiry of PCATC. Should the PCATC expire while the WESM Member is in the process of satisfying the grid connectivity parameters required by PGC or PDC, the process for the conduct of Test and Commissioning shall be reset.</w:t>
            </w:r>
          </w:p>
          <w:p w14:paraId="50C9C19F" w14:textId="77777777" w:rsidR="00814FC0" w:rsidRPr="00814FC0" w:rsidRDefault="00814FC0" w:rsidP="00814FC0">
            <w:pPr>
              <w:jc w:val="both"/>
              <w:rPr>
                <w:rFonts w:ascii="Arial" w:hAnsi="Arial" w:cs="Arial"/>
                <w:bCs/>
                <w:sz w:val="24"/>
                <w:szCs w:val="24"/>
              </w:rPr>
            </w:pPr>
          </w:p>
          <w:p w14:paraId="6715C0EF"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g)</w:t>
            </w:r>
            <w:r w:rsidRPr="00814FC0">
              <w:rPr>
                <w:rFonts w:ascii="Arial" w:hAnsi="Arial" w:cs="Arial"/>
                <w:bCs/>
                <w:sz w:val="24"/>
                <w:szCs w:val="24"/>
              </w:rPr>
              <w:tab/>
              <w:t>In case of changes in capacity and capabilities of the generating unit arising from the results of test and commissioning, the WESM Member shall immediately inform the Market Operator for the purpose of updating its registration details subject to provisions of Section 3.3 of this Manual.</w:t>
            </w:r>
          </w:p>
          <w:p w14:paraId="4897784D" w14:textId="77777777" w:rsidR="00814FC0" w:rsidRPr="00814FC0" w:rsidRDefault="00814FC0" w:rsidP="00814FC0">
            <w:pPr>
              <w:jc w:val="both"/>
              <w:rPr>
                <w:rFonts w:ascii="Arial" w:hAnsi="Arial" w:cs="Arial"/>
                <w:bCs/>
                <w:sz w:val="24"/>
                <w:szCs w:val="24"/>
              </w:rPr>
            </w:pPr>
          </w:p>
          <w:p w14:paraId="75EEF5E4"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h)</w:t>
            </w:r>
            <w:r w:rsidRPr="00814FC0">
              <w:rPr>
                <w:rFonts w:ascii="Arial" w:hAnsi="Arial" w:cs="Arial"/>
                <w:bCs/>
                <w:sz w:val="24"/>
                <w:szCs w:val="24"/>
              </w:rPr>
              <w:tab/>
              <w:t xml:space="preserve">The Network Service Provider of a generating unit shall furnish the ERC and Market Operator a copy of the FCATC </w:t>
            </w:r>
            <w:r w:rsidRPr="00814FC0">
              <w:rPr>
                <w:rFonts w:ascii="Arial" w:hAnsi="Arial" w:cs="Arial"/>
                <w:bCs/>
                <w:sz w:val="24"/>
                <w:szCs w:val="24"/>
              </w:rPr>
              <w:lastRenderedPageBreak/>
              <w:t>within three (3) calendar days from issuance thereof to the relevant WESM Member.</w:t>
            </w:r>
          </w:p>
          <w:p w14:paraId="6B5C1673" w14:textId="77777777" w:rsidR="00814FC0" w:rsidRPr="00814FC0" w:rsidRDefault="00814FC0" w:rsidP="00814FC0">
            <w:pPr>
              <w:jc w:val="both"/>
              <w:rPr>
                <w:rFonts w:ascii="Arial" w:hAnsi="Arial" w:cs="Arial"/>
                <w:bCs/>
                <w:sz w:val="24"/>
                <w:szCs w:val="24"/>
              </w:rPr>
            </w:pPr>
          </w:p>
          <w:p w14:paraId="46D625E6" w14:textId="77777777" w:rsidR="00814FC0" w:rsidRPr="00814FC0" w:rsidRDefault="00814FC0" w:rsidP="00814FC0">
            <w:pPr>
              <w:jc w:val="both"/>
              <w:rPr>
                <w:rFonts w:ascii="Arial" w:hAnsi="Arial" w:cs="Arial"/>
                <w:bCs/>
                <w:sz w:val="24"/>
                <w:szCs w:val="24"/>
              </w:rPr>
            </w:pPr>
            <w:proofErr w:type="spellStart"/>
            <w:r w:rsidRPr="00814FC0">
              <w:rPr>
                <w:rFonts w:ascii="Arial" w:hAnsi="Arial" w:cs="Arial"/>
                <w:bCs/>
                <w:sz w:val="24"/>
                <w:szCs w:val="24"/>
              </w:rPr>
              <w:t>i</w:t>
            </w:r>
            <w:proofErr w:type="spellEnd"/>
            <w:r w:rsidRPr="00814FC0">
              <w:rPr>
                <w:rFonts w:ascii="Arial" w:hAnsi="Arial" w:cs="Arial"/>
                <w:bCs/>
                <w:sz w:val="24"/>
                <w:szCs w:val="24"/>
              </w:rPr>
              <w:t>)</w:t>
            </w:r>
            <w:r w:rsidRPr="00814FC0">
              <w:rPr>
                <w:rFonts w:ascii="Arial" w:hAnsi="Arial" w:cs="Arial"/>
                <w:bCs/>
                <w:sz w:val="24"/>
                <w:szCs w:val="24"/>
              </w:rPr>
              <w:tab/>
              <w:t>The WESM Member shall submit to the Market Operator an application for Commercial Operations Registration of its generating unit within three (3) working days from date of receipt of its Certificate of Compliance or Provisional Authority to Operate from the Energy Regulatory Commission, provided that this shall not apply to embedded generation companies that are allowed to register on a voluntary basis and have opted not to register in the WESM.</w:t>
            </w:r>
          </w:p>
          <w:p w14:paraId="2078C698" w14:textId="77777777" w:rsidR="00814FC0" w:rsidRPr="00814FC0" w:rsidRDefault="00814FC0" w:rsidP="00814FC0">
            <w:pPr>
              <w:jc w:val="both"/>
              <w:rPr>
                <w:rFonts w:ascii="Arial" w:hAnsi="Arial" w:cs="Arial"/>
                <w:bCs/>
                <w:sz w:val="24"/>
                <w:szCs w:val="24"/>
              </w:rPr>
            </w:pPr>
          </w:p>
          <w:p w14:paraId="5467671F" w14:textId="77777777" w:rsidR="00814FC0" w:rsidRPr="00814FC0" w:rsidRDefault="00814FC0" w:rsidP="00814FC0">
            <w:pPr>
              <w:jc w:val="both"/>
              <w:rPr>
                <w:rFonts w:ascii="Arial" w:hAnsi="Arial" w:cs="Arial"/>
                <w:bCs/>
                <w:sz w:val="24"/>
                <w:szCs w:val="24"/>
              </w:rPr>
            </w:pPr>
            <w:r w:rsidRPr="00814FC0">
              <w:rPr>
                <w:rFonts w:ascii="Arial" w:hAnsi="Arial" w:cs="Arial"/>
                <w:bCs/>
                <w:sz w:val="24"/>
                <w:szCs w:val="24"/>
              </w:rPr>
              <w:t>Furthermore, the WESM Member shall likewise furnish the System Operator of the said submission. The said notification shall include the date of effectivity of the Certificate of Compliance or the Provisional Authority to Operate, and the estimated or target date of commercial operation of the WESM Member.</w:t>
            </w:r>
          </w:p>
          <w:p w14:paraId="590C1BA9" w14:textId="140F99DC" w:rsidR="00814FC0" w:rsidRPr="00691003" w:rsidRDefault="00814FC0" w:rsidP="0071528C">
            <w:pPr>
              <w:jc w:val="both"/>
              <w:rPr>
                <w:rFonts w:ascii="Arial" w:hAnsi="Arial" w:cs="Arial"/>
                <w:bCs/>
                <w:sz w:val="24"/>
                <w:szCs w:val="24"/>
              </w:rPr>
            </w:pPr>
          </w:p>
        </w:tc>
        <w:tc>
          <w:tcPr>
            <w:tcW w:w="1177" w:type="pct"/>
            <w:shd w:val="clear" w:color="auto" w:fill="FFFFFF" w:themeFill="background1"/>
          </w:tcPr>
          <w:p w14:paraId="28D9A8F8" w14:textId="77777777" w:rsidR="00814FC0" w:rsidRPr="00691003" w:rsidRDefault="00814FC0" w:rsidP="0071528C">
            <w:pPr>
              <w:spacing w:line="276" w:lineRule="auto"/>
              <w:jc w:val="both"/>
              <w:rPr>
                <w:rFonts w:ascii="Arial" w:hAnsi="Arial" w:cs="Arial"/>
                <w:sz w:val="24"/>
                <w:szCs w:val="24"/>
              </w:rPr>
            </w:pPr>
          </w:p>
        </w:tc>
        <w:tc>
          <w:tcPr>
            <w:tcW w:w="945" w:type="pct"/>
            <w:shd w:val="clear" w:color="auto" w:fill="FFFFFF" w:themeFill="background1"/>
          </w:tcPr>
          <w:p w14:paraId="4133F12F" w14:textId="77777777" w:rsidR="00814FC0" w:rsidRPr="00691003" w:rsidRDefault="00814FC0" w:rsidP="0071528C">
            <w:pPr>
              <w:spacing w:line="276" w:lineRule="auto"/>
              <w:jc w:val="both"/>
              <w:rPr>
                <w:rFonts w:ascii="Arial" w:hAnsi="Arial" w:cs="Arial"/>
                <w:sz w:val="24"/>
                <w:szCs w:val="24"/>
              </w:rPr>
            </w:pPr>
          </w:p>
        </w:tc>
      </w:tr>
      <w:tr w:rsidR="00814FC0" w:rsidRPr="00691003" w14:paraId="5BB949C2" w14:textId="77777777" w:rsidTr="004C6600">
        <w:tc>
          <w:tcPr>
            <w:tcW w:w="429" w:type="pct"/>
          </w:tcPr>
          <w:p w14:paraId="3EA0B38F" w14:textId="13E465C2" w:rsidR="00814FC0" w:rsidRPr="00691003" w:rsidRDefault="00814FC0" w:rsidP="0071528C">
            <w:pPr>
              <w:jc w:val="both"/>
              <w:rPr>
                <w:rFonts w:ascii="Arial" w:hAnsi="Arial" w:cs="Arial"/>
                <w:sz w:val="24"/>
                <w:szCs w:val="24"/>
              </w:rPr>
            </w:pPr>
            <w:r>
              <w:rPr>
                <w:rFonts w:ascii="Arial" w:eastAsia="Arial" w:hAnsi="Arial" w:cs="Arial"/>
                <w:color w:val="000000"/>
                <w:sz w:val="24"/>
                <w:szCs w:val="24"/>
              </w:rPr>
              <w:lastRenderedPageBreak/>
              <w:t>Appendix A</w:t>
            </w:r>
          </w:p>
        </w:tc>
        <w:tc>
          <w:tcPr>
            <w:tcW w:w="1143" w:type="pct"/>
          </w:tcPr>
          <w:p w14:paraId="3EEAB4DE" w14:textId="6340281C" w:rsidR="00814FC0" w:rsidRPr="00691003" w:rsidRDefault="00B032AE" w:rsidP="00B032AE">
            <w:pPr>
              <w:jc w:val="both"/>
              <w:rPr>
                <w:rFonts w:ascii="Arial" w:hAnsi="Arial" w:cs="Arial"/>
                <w:sz w:val="24"/>
                <w:szCs w:val="24"/>
              </w:rPr>
            </w:pPr>
            <w:r w:rsidRPr="00B032AE">
              <w:rPr>
                <w:rFonts w:ascii="Arial" w:hAnsi="Arial" w:cs="Arial"/>
                <w:sz w:val="24"/>
                <w:szCs w:val="24"/>
              </w:rPr>
              <w:t>Supply Customer - Customers connected to the grid that are being supplied</w:t>
            </w:r>
            <w:r>
              <w:rPr>
                <w:rFonts w:ascii="Arial" w:hAnsi="Arial" w:cs="Arial"/>
                <w:sz w:val="24"/>
                <w:szCs w:val="24"/>
              </w:rPr>
              <w:t xml:space="preserve"> </w:t>
            </w:r>
            <w:r w:rsidRPr="00B032AE">
              <w:rPr>
                <w:rFonts w:ascii="Arial" w:hAnsi="Arial" w:cs="Arial"/>
                <w:sz w:val="24"/>
                <w:szCs w:val="24"/>
              </w:rPr>
              <w:t>electricity by Generation Companies or Wholesale</w:t>
            </w:r>
            <w:r>
              <w:rPr>
                <w:rFonts w:ascii="Arial" w:hAnsi="Arial" w:cs="Arial"/>
                <w:sz w:val="24"/>
                <w:szCs w:val="24"/>
              </w:rPr>
              <w:t xml:space="preserve"> </w:t>
            </w:r>
            <w:r w:rsidRPr="00B032AE">
              <w:rPr>
                <w:rFonts w:ascii="Arial" w:hAnsi="Arial" w:cs="Arial"/>
                <w:sz w:val="24"/>
                <w:szCs w:val="24"/>
              </w:rPr>
              <w:lastRenderedPageBreak/>
              <w:t>Aggregators under any power supply agreement or</w:t>
            </w:r>
            <w:r>
              <w:rPr>
                <w:rFonts w:ascii="Arial" w:hAnsi="Arial" w:cs="Arial"/>
                <w:sz w:val="24"/>
                <w:szCs w:val="24"/>
              </w:rPr>
              <w:t xml:space="preserve"> </w:t>
            </w:r>
            <w:r w:rsidRPr="00B032AE">
              <w:rPr>
                <w:rFonts w:ascii="Arial" w:hAnsi="Arial" w:cs="Arial"/>
                <w:sz w:val="24"/>
                <w:szCs w:val="24"/>
              </w:rPr>
              <w:t>contract</w:t>
            </w:r>
            <w:r>
              <w:rPr>
                <w:rFonts w:ascii="Arial" w:hAnsi="Arial" w:cs="Arial"/>
                <w:sz w:val="24"/>
                <w:szCs w:val="24"/>
              </w:rPr>
              <w:t>.</w:t>
            </w:r>
          </w:p>
        </w:tc>
        <w:tc>
          <w:tcPr>
            <w:tcW w:w="1306" w:type="pct"/>
          </w:tcPr>
          <w:p w14:paraId="5B4AD155" w14:textId="77777777" w:rsidR="00814FC0" w:rsidRDefault="00814FC0" w:rsidP="00814FC0">
            <w:pPr>
              <w:widowControl w:val="0"/>
              <w:pBdr>
                <w:top w:val="nil"/>
                <w:left w:val="nil"/>
                <w:bottom w:val="nil"/>
                <w:right w:val="nil"/>
                <w:between w:val="nil"/>
              </w:pBdr>
              <w:tabs>
                <w:tab w:val="left" w:pos="6972"/>
              </w:tabs>
              <w:ind w:right="9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Supply Customer - Customers or Generation Companies that purchase electricity under any power supply agreement replacement power arrangement or contract with a </w:t>
            </w:r>
            <w:r>
              <w:rPr>
                <w:rFonts w:ascii="Arial" w:eastAsia="Arial" w:hAnsi="Arial" w:cs="Arial"/>
                <w:color w:val="000000"/>
                <w:sz w:val="24"/>
                <w:szCs w:val="24"/>
              </w:rPr>
              <w:lastRenderedPageBreak/>
              <w:t>Generation Company or Retail Electricity Supplier.</w:t>
            </w:r>
          </w:p>
          <w:p w14:paraId="6345740A" w14:textId="240C0A36" w:rsidR="00814FC0" w:rsidRPr="00691003" w:rsidRDefault="00814FC0" w:rsidP="0071528C">
            <w:pPr>
              <w:jc w:val="both"/>
              <w:rPr>
                <w:rFonts w:ascii="Arial" w:hAnsi="Arial" w:cs="Arial"/>
                <w:sz w:val="24"/>
                <w:szCs w:val="24"/>
              </w:rPr>
            </w:pPr>
          </w:p>
        </w:tc>
        <w:tc>
          <w:tcPr>
            <w:tcW w:w="1177" w:type="pct"/>
            <w:shd w:val="clear" w:color="auto" w:fill="FFFFFF" w:themeFill="background1"/>
          </w:tcPr>
          <w:p w14:paraId="6CF84C40" w14:textId="77777777" w:rsidR="00814FC0" w:rsidRPr="00691003" w:rsidRDefault="00814FC0" w:rsidP="0071528C">
            <w:pPr>
              <w:pStyle w:val="Default"/>
              <w:ind w:left="360"/>
              <w:jc w:val="both"/>
              <w:rPr>
                <w:color w:val="auto"/>
                <w:lang w:val="en-US"/>
              </w:rPr>
            </w:pPr>
          </w:p>
        </w:tc>
        <w:tc>
          <w:tcPr>
            <w:tcW w:w="945" w:type="pct"/>
            <w:shd w:val="clear" w:color="auto" w:fill="FFFFFF" w:themeFill="background1"/>
          </w:tcPr>
          <w:p w14:paraId="0C921842" w14:textId="77777777" w:rsidR="00814FC0" w:rsidRPr="00691003" w:rsidRDefault="00814FC0" w:rsidP="0071528C">
            <w:pPr>
              <w:pStyle w:val="Default"/>
              <w:ind w:left="360"/>
              <w:jc w:val="both"/>
              <w:rPr>
                <w:color w:val="auto"/>
                <w:lang w:val="en-US"/>
              </w:rPr>
            </w:pPr>
          </w:p>
        </w:tc>
      </w:tr>
    </w:tbl>
    <w:p w14:paraId="047F73B0" w14:textId="77777777" w:rsidR="003242DE" w:rsidRPr="00691003" w:rsidRDefault="003242DE" w:rsidP="00691003">
      <w:pPr>
        <w:jc w:val="both"/>
        <w:rPr>
          <w:rFonts w:ascii="Arial" w:hAnsi="Arial" w:cs="Arial"/>
          <w:sz w:val="24"/>
          <w:szCs w:val="24"/>
          <w:u w:val="single"/>
        </w:rPr>
      </w:pPr>
    </w:p>
    <w:sectPr w:rsidR="003242DE" w:rsidRPr="00691003" w:rsidSect="000D2D94">
      <w:headerReference w:type="default" r:id="rId7"/>
      <w:footerReference w:type="default" r:id="rId8"/>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E493" w14:textId="77777777" w:rsidR="009E7E30" w:rsidRDefault="009E7E30" w:rsidP="000D2D94">
      <w:pPr>
        <w:spacing w:after="0" w:line="240" w:lineRule="auto"/>
      </w:pPr>
      <w:r>
        <w:separator/>
      </w:r>
    </w:p>
  </w:endnote>
  <w:endnote w:type="continuationSeparator" w:id="0">
    <w:p w14:paraId="37A125EB" w14:textId="77777777" w:rsidR="009E7E30" w:rsidRDefault="009E7E30"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Content>
      <w:sdt>
        <w:sdtPr>
          <w:id w:val="-1769616900"/>
          <w:docPartObj>
            <w:docPartGallery w:val="Page Numbers (Top of Page)"/>
            <w:docPartUnique/>
          </w:docPartObj>
        </w:sdt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0895" w14:textId="77777777" w:rsidR="009E7E30" w:rsidRDefault="009E7E30" w:rsidP="000D2D94">
      <w:pPr>
        <w:spacing w:after="0" w:line="240" w:lineRule="auto"/>
      </w:pPr>
      <w:r>
        <w:separator/>
      </w:r>
    </w:p>
  </w:footnote>
  <w:footnote w:type="continuationSeparator" w:id="0">
    <w:p w14:paraId="64179FDE" w14:textId="77777777" w:rsidR="009E7E30" w:rsidRDefault="009E7E30"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2C40" w14:textId="7582EDAA" w:rsidR="00BC4E24" w:rsidRPr="0071528C" w:rsidRDefault="000D2D94" w:rsidP="0071528C">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sidR="00B7516F">
      <w:rPr>
        <w:rFonts w:ascii="Arial" w:hAnsi="Arial" w:cs="Arial"/>
        <w:b/>
        <w:bCs/>
        <w:sz w:val="24"/>
        <w:szCs w:val="24"/>
        <w:lang w:val="en-US"/>
      </w:rPr>
      <w:t>“</w:t>
    </w:r>
    <w:r w:rsidR="00814FC0" w:rsidRPr="00814FC0">
      <w:rPr>
        <w:rFonts w:ascii="Arial" w:hAnsi="Arial" w:cs="Arial"/>
        <w:b/>
        <w:bCs/>
        <w:sz w:val="24"/>
        <w:szCs w:val="24"/>
        <w:lang w:val="en-US"/>
      </w:rPr>
      <w:t xml:space="preserve">AMENDING CERTAIN PROVISIONS AND SUPPLEMENTING DEPARTMENT CIRCULAR NO. DC2022-06-0022 ON THE APPLICATION PROCESS OF NEW WESM </w:t>
    </w:r>
    <w:proofErr w:type="gramStart"/>
    <w:r w:rsidR="00814FC0" w:rsidRPr="00814FC0">
      <w:rPr>
        <w:rFonts w:ascii="Arial" w:hAnsi="Arial" w:cs="Arial"/>
        <w:b/>
        <w:bCs/>
        <w:sz w:val="24"/>
        <w:szCs w:val="24"/>
        <w:lang w:val="en-US"/>
      </w:rPr>
      <w:t>MEMBERS</w:t>
    </w:r>
    <w:proofErr w:type="gramEnd"/>
    <w:r w:rsidR="00814FC0">
      <w:rPr>
        <w:rFonts w:ascii="Arial" w:hAnsi="Arial" w:cs="Arial"/>
        <w:b/>
        <w:bCs/>
        <w:sz w:val="24"/>
        <w:szCs w:val="2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617"/>
    <w:multiLevelType w:val="hybridMultilevel"/>
    <w:tmpl w:val="9C88984E"/>
    <w:lvl w:ilvl="0" w:tplc="34090017">
      <w:start w:val="1"/>
      <w:numFmt w:val="lowerLetter"/>
      <w:lvlText w:val="%1)"/>
      <w:lvlJc w:val="left"/>
      <w:pPr>
        <w:ind w:left="720" w:hanging="360"/>
      </w:pPr>
      <w:rPr>
        <w:rFonts w:hint="default"/>
      </w:rPr>
    </w:lvl>
    <w:lvl w:ilvl="1" w:tplc="A0046B08">
      <w:start w:val="1"/>
      <w:numFmt w:val="lowerRoman"/>
      <w:lvlText w:val="%2."/>
      <w:lvlJc w:val="left"/>
      <w:pPr>
        <w:ind w:left="1440" w:hanging="360"/>
      </w:pPr>
      <w:rPr>
        <w:rFonts w:hint="default"/>
        <w:b/>
        <w:u w:val="single"/>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A752B98"/>
    <w:multiLevelType w:val="hybridMultilevel"/>
    <w:tmpl w:val="3F3C37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2EC0179"/>
    <w:multiLevelType w:val="hybridMultilevel"/>
    <w:tmpl w:val="882A20A0"/>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25072467"/>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6C26F92"/>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6D40FA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9E47948"/>
    <w:multiLevelType w:val="hybridMultilevel"/>
    <w:tmpl w:val="CD72092A"/>
    <w:lvl w:ilvl="0" w:tplc="282A5694">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04812D6"/>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5BEA7B78"/>
    <w:multiLevelType w:val="hybridMultilevel"/>
    <w:tmpl w:val="5C0221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F297680"/>
    <w:multiLevelType w:val="hybridMultilevel"/>
    <w:tmpl w:val="5720D69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681D5EE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5B031A0"/>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43586757">
    <w:abstractNumId w:val="9"/>
  </w:num>
  <w:num w:numId="2" w16cid:durableId="897935241">
    <w:abstractNumId w:val="8"/>
  </w:num>
  <w:num w:numId="3" w16cid:durableId="1149710806">
    <w:abstractNumId w:val="12"/>
  </w:num>
  <w:num w:numId="4" w16cid:durableId="780343793">
    <w:abstractNumId w:val="7"/>
  </w:num>
  <w:num w:numId="5" w16cid:durableId="226231470">
    <w:abstractNumId w:val="13"/>
  </w:num>
  <w:num w:numId="6" w16cid:durableId="812866012">
    <w:abstractNumId w:val="5"/>
  </w:num>
  <w:num w:numId="7" w16cid:durableId="1469199007">
    <w:abstractNumId w:val="0"/>
  </w:num>
  <w:num w:numId="8" w16cid:durableId="921371116">
    <w:abstractNumId w:val="3"/>
  </w:num>
  <w:num w:numId="9" w16cid:durableId="1227842121">
    <w:abstractNumId w:val="10"/>
  </w:num>
  <w:num w:numId="10" w16cid:durableId="1098521240">
    <w:abstractNumId w:val="4"/>
  </w:num>
  <w:num w:numId="11" w16cid:durableId="1961956001">
    <w:abstractNumId w:val="1"/>
  </w:num>
  <w:num w:numId="12" w16cid:durableId="1177036387">
    <w:abstractNumId w:val="2"/>
  </w:num>
  <w:num w:numId="13" w16cid:durableId="1985158560">
    <w:abstractNumId w:val="11"/>
  </w:num>
  <w:num w:numId="14" w16cid:durableId="1235123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D2D94"/>
    <w:rsid w:val="00126482"/>
    <w:rsid w:val="00157C2B"/>
    <w:rsid w:val="00254A66"/>
    <w:rsid w:val="003242DE"/>
    <w:rsid w:val="0038064F"/>
    <w:rsid w:val="00485F44"/>
    <w:rsid w:val="004C6600"/>
    <w:rsid w:val="00647FA1"/>
    <w:rsid w:val="00691003"/>
    <w:rsid w:val="0071528C"/>
    <w:rsid w:val="00814FC0"/>
    <w:rsid w:val="00843E47"/>
    <w:rsid w:val="009E7E30"/>
    <w:rsid w:val="00A1552A"/>
    <w:rsid w:val="00A170DF"/>
    <w:rsid w:val="00B032AE"/>
    <w:rsid w:val="00B201CE"/>
    <w:rsid w:val="00B50D99"/>
    <w:rsid w:val="00B7516F"/>
    <w:rsid w:val="00B84B8F"/>
    <w:rsid w:val="00CB0B47"/>
    <w:rsid w:val="00D632E8"/>
    <w:rsid w:val="00DC6570"/>
    <w:rsid w:val="00E47726"/>
    <w:rsid w:val="00E57BE0"/>
    <w:rsid w:val="00F818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69100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rmaltextrun">
    <w:name w:val="normaltextrun"/>
    <w:basedOn w:val="DefaultParagraphFont"/>
    <w:rsid w:val="00B7516F"/>
  </w:style>
  <w:style w:type="paragraph" w:styleId="Caption">
    <w:name w:val="caption"/>
    <w:basedOn w:val="Normal"/>
    <w:next w:val="Normal"/>
    <w:uiPriority w:val="35"/>
    <w:unhideWhenUsed/>
    <w:qFormat/>
    <w:rsid w:val="003242DE"/>
    <w:pPr>
      <w:spacing w:after="200" w:line="240" w:lineRule="auto"/>
    </w:pPr>
    <w:rPr>
      <w:i/>
      <w:iCs/>
      <w:color w:val="44546A" w:themeColor="text2"/>
      <w:sz w:val="18"/>
      <w:szCs w:val="18"/>
    </w:rPr>
  </w:style>
  <w:style w:type="character" w:customStyle="1" w:styleId="fontstyle01">
    <w:name w:val="fontstyle01"/>
    <w:basedOn w:val="DefaultParagraphFont"/>
    <w:rsid w:val="0071528C"/>
    <w:rPr>
      <w:rFonts w:ascii="ArialMT" w:hAnsi="ArialMT" w:hint="default"/>
      <w:b w:val="0"/>
      <w:bCs w:val="0"/>
      <w:i w:val="0"/>
      <w:iCs w:val="0"/>
      <w:color w:val="000000"/>
      <w:sz w:val="22"/>
      <w:szCs w:val="22"/>
    </w:rPr>
  </w:style>
  <w:style w:type="character" w:customStyle="1" w:styleId="fontstyle21">
    <w:name w:val="fontstyle21"/>
    <w:basedOn w:val="DefaultParagraphFont"/>
    <w:rsid w:val="0071528C"/>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Melanie Papa</cp:lastModifiedBy>
  <cp:revision>6</cp:revision>
  <dcterms:created xsi:type="dcterms:W3CDTF">2023-02-14T01:53:00Z</dcterms:created>
  <dcterms:modified xsi:type="dcterms:W3CDTF">2023-02-14T02:24:00Z</dcterms:modified>
</cp:coreProperties>
</file>