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66C66" w14:textId="77777777" w:rsidR="008A51F9" w:rsidRDefault="008A51F9" w:rsidP="008A51F9">
      <w:pPr>
        <w:jc w:val="both"/>
        <w:rPr>
          <w:rFonts w:ascii="Arial" w:hAnsi="Arial" w:cs="Arial"/>
          <w:b/>
          <w:sz w:val="22"/>
          <w:szCs w:val="22"/>
        </w:rPr>
      </w:pPr>
    </w:p>
    <w:p w14:paraId="0AD6E5C3" w14:textId="77777777" w:rsidR="00F330A4" w:rsidRPr="00CE4175" w:rsidRDefault="00F330A4" w:rsidP="008A51F9">
      <w:pPr>
        <w:jc w:val="both"/>
        <w:rPr>
          <w:rFonts w:ascii="Arial" w:hAnsi="Arial" w:cs="Arial"/>
          <w:b/>
          <w:sz w:val="22"/>
          <w:szCs w:val="22"/>
        </w:rPr>
      </w:pPr>
    </w:p>
    <w:tbl>
      <w:tblPr>
        <w:tblpPr w:leftFromText="180" w:rightFromText="180" w:vertAnchor="text" w:tblpX="-998" w:tblpY="1"/>
        <w:tblOverlap w:val="never"/>
        <w:tblW w:w="5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535"/>
        <w:gridCol w:w="4535"/>
        <w:gridCol w:w="4538"/>
      </w:tblGrid>
      <w:tr w:rsidR="001872F7" w:rsidRPr="00CE4175" w14:paraId="0F784618" w14:textId="77777777" w:rsidTr="00F330A4">
        <w:tc>
          <w:tcPr>
            <w:tcW w:w="5000" w:type="pct"/>
            <w:gridSpan w:val="4"/>
            <w:vAlign w:val="center"/>
          </w:tcPr>
          <w:p w14:paraId="6AFF4265" w14:textId="77777777" w:rsidR="00F330A4" w:rsidRDefault="00F330A4" w:rsidP="00F330A4">
            <w:pPr>
              <w:jc w:val="center"/>
              <w:rPr>
                <w:rFonts w:ascii="Arial" w:eastAsia="Arial" w:hAnsi="Arial" w:cs="Arial"/>
              </w:rPr>
            </w:pPr>
            <w:r>
              <w:rPr>
                <w:rFonts w:ascii="Arial" w:eastAsia="Arial" w:hAnsi="Arial" w:cs="Arial"/>
                <w:b/>
              </w:rPr>
              <w:t>DECLARING THE COMMERCIAL OPERATIONS DATE OF RETAIL COMPETITION AND OPEN ACCESS (RCOA), RETAIL AGGREGATION AND GREEN ENERGY OPTION PROGRAM (GEOP) IN MINDANAO</w:t>
            </w:r>
          </w:p>
          <w:p w14:paraId="62A5D8BA" w14:textId="77777777" w:rsidR="001872F7" w:rsidRPr="001872F7" w:rsidRDefault="001872F7" w:rsidP="00F330A4">
            <w:pPr>
              <w:jc w:val="center"/>
              <w:rPr>
                <w:rFonts w:ascii="Arial" w:hAnsi="Arial" w:cs="Arial"/>
                <w:b/>
                <w:sz w:val="22"/>
                <w:szCs w:val="22"/>
              </w:rPr>
            </w:pPr>
          </w:p>
        </w:tc>
      </w:tr>
      <w:tr w:rsidR="001872F7" w:rsidRPr="00CE4175" w14:paraId="4CE5FDC6" w14:textId="61BC49D1" w:rsidTr="00F330A4">
        <w:tc>
          <w:tcPr>
            <w:tcW w:w="676" w:type="pct"/>
            <w:vAlign w:val="center"/>
          </w:tcPr>
          <w:p w14:paraId="16F96737" w14:textId="77777777" w:rsidR="001872F7" w:rsidRPr="00CE4175" w:rsidRDefault="001872F7" w:rsidP="00F330A4">
            <w:pPr>
              <w:jc w:val="center"/>
              <w:rPr>
                <w:rFonts w:ascii="Arial" w:hAnsi="Arial" w:cs="Arial"/>
                <w:b/>
                <w:sz w:val="22"/>
                <w:szCs w:val="22"/>
                <w:lang w:val="en-PH"/>
              </w:rPr>
            </w:pPr>
            <w:r w:rsidRPr="00CE4175">
              <w:rPr>
                <w:rFonts w:ascii="Arial" w:hAnsi="Arial" w:cs="Arial"/>
                <w:b/>
                <w:sz w:val="22"/>
                <w:szCs w:val="22"/>
                <w:lang w:val="en-PH"/>
              </w:rPr>
              <w:t>Title</w:t>
            </w:r>
          </w:p>
        </w:tc>
        <w:tc>
          <w:tcPr>
            <w:tcW w:w="1441" w:type="pct"/>
            <w:vAlign w:val="center"/>
          </w:tcPr>
          <w:p w14:paraId="1112098B" w14:textId="77777777" w:rsidR="001872F7" w:rsidRPr="00CE4175" w:rsidRDefault="001872F7" w:rsidP="00F330A4">
            <w:pPr>
              <w:jc w:val="center"/>
              <w:rPr>
                <w:rFonts w:ascii="Arial" w:hAnsi="Arial" w:cs="Arial"/>
                <w:b/>
                <w:sz w:val="22"/>
                <w:szCs w:val="22"/>
                <w:lang w:val="en-PH"/>
              </w:rPr>
            </w:pPr>
            <w:r w:rsidRPr="00CE4175">
              <w:rPr>
                <w:rFonts w:ascii="Arial" w:hAnsi="Arial" w:cs="Arial"/>
                <w:b/>
                <w:sz w:val="22"/>
                <w:szCs w:val="22"/>
                <w:lang w:val="en-PH"/>
              </w:rPr>
              <w:t>Provision</w:t>
            </w:r>
          </w:p>
        </w:tc>
        <w:tc>
          <w:tcPr>
            <w:tcW w:w="1441" w:type="pct"/>
          </w:tcPr>
          <w:p w14:paraId="161F5BFA" w14:textId="4DB90980" w:rsidR="001872F7" w:rsidRPr="00CE4175" w:rsidRDefault="001872F7" w:rsidP="00F330A4">
            <w:pPr>
              <w:jc w:val="center"/>
              <w:rPr>
                <w:rFonts w:ascii="Arial" w:hAnsi="Arial" w:cs="Arial"/>
                <w:b/>
                <w:sz w:val="22"/>
                <w:szCs w:val="22"/>
                <w:lang w:val="en-PH"/>
              </w:rPr>
            </w:pPr>
            <w:r>
              <w:rPr>
                <w:rFonts w:ascii="Arial" w:hAnsi="Arial" w:cs="Arial"/>
                <w:b/>
                <w:sz w:val="22"/>
                <w:szCs w:val="22"/>
                <w:lang w:val="en-PH"/>
              </w:rPr>
              <w:t>Stakeholder Comment/Recommendation</w:t>
            </w:r>
          </w:p>
        </w:tc>
        <w:tc>
          <w:tcPr>
            <w:tcW w:w="1442" w:type="pct"/>
          </w:tcPr>
          <w:p w14:paraId="0F68B856" w14:textId="4AA73481" w:rsidR="001872F7" w:rsidRDefault="001872F7" w:rsidP="00F330A4">
            <w:pPr>
              <w:jc w:val="center"/>
              <w:rPr>
                <w:rFonts w:ascii="Arial" w:hAnsi="Arial" w:cs="Arial"/>
                <w:b/>
                <w:sz w:val="22"/>
                <w:szCs w:val="22"/>
                <w:lang w:val="en-PH"/>
              </w:rPr>
            </w:pPr>
            <w:r>
              <w:rPr>
                <w:rFonts w:ascii="Arial" w:hAnsi="Arial" w:cs="Arial"/>
                <w:b/>
                <w:sz w:val="22"/>
                <w:szCs w:val="22"/>
                <w:lang w:val="en-PH"/>
              </w:rPr>
              <w:t>Stakeholder Rationale</w:t>
            </w:r>
          </w:p>
        </w:tc>
      </w:tr>
      <w:tr w:rsidR="001872F7" w:rsidRPr="00CE4175" w14:paraId="428A60D5" w14:textId="3F7473D0" w:rsidTr="00F330A4">
        <w:trPr>
          <w:trHeight w:val="98"/>
        </w:trPr>
        <w:tc>
          <w:tcPr>
            <w:tcW w:w="676" w:type="pct"/>
          </w:tcPr>
          <w:p w14:paraId="2E456D7F" w14:textId="597186FA" w:rsidR="001872F7" w:rsidRPr="00CE4175" w:rsidRDefault="002A66EC" w:rsidP="00F330A4">
            <w:pPr>
              <w:rPr>
                <w:rFonts w:ascii="Arial" w:hAnsi="Arial" w:cs="Arial"/>
                <w:sz w:val="22"/>
                <w:szCs w:val="22"/>
              </w:rPr>
            </w:pPr>
            <w:r w:rsidRPr="00176408">
              <w:rPr>
                <w:rFonts w:ascii="Arial" w:hAnsi="Arial" w:cs="Arial"/>
                <w:b/>
                <w:bCs/>
              </w:rPr>
              <w:t xml:space="preserve">Section 1. Declaration of </w:t>
            </w:r>
            <w:r>
              <w:rPr>
                <w:rFonts w:ascii="Arial" w:hAnsi="Arial" w:cs="Arial"/>
                <w:b/>
                <w:bCs/>
              </w:rPr>
              <w:t>implementing</w:t>
            </w:r>
            <w:r w:rsidRPr="00176408">
              <w:rPr>
                <w:rFonts w:ascii="Arial" w:hAnsi="Arial" w:cs="Arial"/>
                <w:b/>
                <w:bCs/>
              </w:rPr>
              <w:t xml:space="preserve"> RCOA, Retail Aggregation, and GEOP in</w:t>
            </w:r>
            <w:r>
              <w:rPr>
                <w:rFonts w:ascii="Arial" w:hAnsi="Arial" w:cs="Arial"/>
                <w:b/>
                <w:bCs/>
              </w:rPr>
              <w:t xml:space="preserve"> Mindanao</w:t>
            </w:r>
          </w:p>
        </w:tc>
        <w:tc>
          <w:tcPr>
            <w:tcW w:w="1441" w:type="pct"/>
          </w:tcPr>
          <w:p w14:paraId="521506C8" w14:textId="4C1D814E" w:rsidR="001872F7" w:rsidRPr="002A66EC" w:rsidRDefault="002A66EC" w:rsidP="00F330A4">
            <w:pPr>
              <w:pStyle w:val="Default"/>
              <w:ind w:left="-107"/>
              <w:jc w:val="both"/>
              <w:rPr>
                <w:rFonts w:ascii="Arial" w:hAnsi="Arial" w:cs="Arial"/>
                <w:color w:val="auto"/>
                <w:sz w:val="22"/>
                <w:szCs w:val="22"/>
              </w:rPr>
            </w:pPr>
            <w:r w:rsidRPr="00176408">
              <w:rPr>
                <w:rFonts w:ascii="Arial" w:hAnsi="Arial" w:cs="Arial"/>
              </w:rPr>
              <w:t xml:space="preserve">The DOE hereby </w:t>
            </w:r>
            <w:r w:rsidRPr="00176408">
              <w:rPr>
                <w:rFonts w:ascii="Arial" w:hAnsi="Arial" w:cs="Arial"/>
                <w:color w:val="000000" w:themeColor="text1"/>
              </w:rPr>
              <w:t xml:space="preserve">declares </w:t>
            </w:r>
            <w:r w:rsidRPr="00176408">
              <w:rPr>
                <w:rFonts w:ascii="Arial" w:hAnsi="Arial" w:cs="Arial"/>
                <w:b/>
                <w:bCs/>
                <w:color w:val="000000" w:themeColor="text1"/>
              </w:rPr>
              <w:t>26 December 2023</w:t>
            </w:r>
            <w:r w:rsidRPr="00176408">
              <w:rPr>
                <w:rFonts w:ascii="Arial" w:hAnsi="Arial" w:cs="Arial"/>
                <w:color w:val="000000" w:themeColor="text1"/>
              </w:rPr>
              <w:t xml:space="preserve"> as the commencement date of </w:t>
            </w:r>
            <w:r>
              <w:rPr>
                <w:rFonts w:ascii="Arial" w:hAnsi="Arial" w:cs="Arial"/>
                <w:color w:val="000000" w:themeColor="text1"/>
              </w:rPr>
              <w:t>implementing</w:t>
            </w:r>
            <w:r w:rsidRPr="00176408">
              <w:rPr>
                <w:rFonts w:ascii="Arial" w:hAnsi="Arial" w:cs="Arial"/>
                <w:color w:val="000000" w:themeColor="text1"/>
              </w:rPr>
              <w:t xml:space="preserve"> RCOA, Retail Aggregation, and GEOP in Mindanao.</w:t>
            </w:r>
          </w:p>
        </w:tc>
        <w:tc>
          <w:tcPr>
            <w:tcW w:w="1441" w:type="pct"/>
          </w:tcPr>
          <w:p w14:paraId="5C06DFFE" w14:textId="77777777" w:rsidR="001872F7" w:rsidRPr="002A66EC" w:rsidRDefault="001872F7" w:rsidP="00F330A4">
            <w:pPr>
              <w:pStyle w:val="ListParagraph"/>
              <w:ind w:left="216"/>
              <w:rPr>
                <w:rFonts w:ascii="Arial" w:hAnsi="Arial" w:cs="Arial"/>
                <w:sz w:val="22"/>
                <w:szCs w:val="22"/>
              </w:rPr>
            </w:pPr>
          </w:p>
        </w:tc>
        <w:tc>
          <w:tcPr>
            <w:tcW w:w="1442" w:type="pct"/>
          </w:tcPr>
          <w:p w14:paraId="718BD1B8" w14:textId="77777777" w:rsidR="001872F7" w:rsidRPr="002A66EC" w:rsidRDefault="001872F7" w:rsidP="00F330A4">
            <w:pPr>
              <w:pStyle w:val="ListParagraph"/>
              <w:ind w:left="216"/>
              <w:rPr>
                <w:rFonts w:ascii="Arial" w:hAnsi="Arial" w:cs="Arial"/>
                <w:sz w:val="22"/>
                <w:szCs w:val="22"/>
              </w:rPr>
            </w:pPr>
          </w:p>
        </w:tc>
      </w:tr>
      <w:tr w:rsidR="001872F7" w:rsidRPr="00CE4175" w14:paraId="6949661D" w14:textId="77777777" w:rsidTr="00F330A4">
        <w:trPr>
          <w:trHeight w:val="98"/>
        </w:trPr>
        <w:tc>
          <w:tcPr>
            <w:tcW w:w="676" w:type="pct"/>
          </w:tcPr>
          <w:p w14:paraId="752DAA0C" w14:textId="77777777" w:rsidR="001872F7" w:rsidRPr="00CE4175" w:rsidRDefault="001872F7" w:rsidP="00F330A4">
            <w:pPr>
              <w:rPr>
                <w:rFonts w:ascii="Arial" w:hAnsi="Arial" w:cs="Arial"/>
                <w:sz w:val="22"/>
                <w:szCs w:val="22"/>
              </w:rPr>
            </w:pPr>
          </w:p>
        </w:tc>
        <w:tc>
          <w:tcPr>
            <w:tcW w:w="1441" w:type="pct"/>
          </w:tcPr>
          <w:p w14:paraId="55FE83F0" w14:textId="77777777" w:rsidR="002A66EC" w:rsidRPr="00176408" w:rsidRDefault="002A66EC" w:rsidP="00F330A4">
            <w:pPr>
              <w:pStyle w:val="BodyText"/>
              <w:tabs>
                <w:tab w:val="left" w:pos="8910"/>
              </w:tabs>
              <w:ind w:left="-90"/>
              <w:jc w:val="both"/>
              <w:rPr>
                <w:rFonts w:ascii="Arial" w:hAnsi="Arial" w:cs="Arial"/>
                <w:color w:val="000000" w:themeColor="text1"/>
              </w:rPr>
            </w:pPr>
            <w:r w:rsidRPr="00176408">
              <w:rPr>
                <w:rFonts w:ascii="Arial" w:hAnsi="Arial" w:cs="Arial"/>
                <w:color w:val="000000" w:themeColor="text1"/>
              </w:rPr>
              <w:t xml:space="preserve">Upon the commencement date, all eligible </w:t>
            </w:r>
            <w:r>
              <w:rPr>
                <w:rFonts w:ascii="Arial" w:hAnsi="Arial" w:cs="Arial"/>
                <w:color w:val="000000" w:themeColor="text1"/>
              </w:rPr>
              <w:t xml:space="preserve">and interested electricity </w:t>
            </w:r>
            <w:r w:rsidRPr="00176408">
              <w:rPr>
                <w:rFonts w:ascii="Arial" w:hAnsi="Arial" w:cs="Arial"/>
                <w:color w:val="000000" w:themeColor="text1"/>
              </w:rPr>
              <w:t>End-users shall be allowed to choose where to source their electricity, whether from a Retail Electricity Supplier (RES)</w:t>
            </w:r>
            <w:r>
              <w:rPr>
                <w:rFonts w:ascii="Arial" w:hAnsi="Arial" w:cs="Arial"/>
                <w:color w:val="000000" w:themeColor="text1"/>
              </w:rPr>
              <w:t>, Aggregator</w:t>
            </w:r>
            <w:r w:rsidRPr="00176408">
              <w:rPr>
                <w:rFonts w:ascii="Arial" w:hAnsi="Arial" w:cs="Arial"/>
                <w:color w:val="000000" w:themeColor="text1"/>
              </w:rPr>
              <w:t xml:space="preserve"> for RCOA</w:t>
            </w:r>
            <w:r>
              <w:rPr>
                <w:rFonts w:ascii="Arial" w:hAnsi="Arial" w:cs="Arial"/>
                <w:color w:val="000000" w:themeColor="text1"/>
              </w:rPr>
              <w:t xml:space="preserve">, </w:t>
            </w:r>
            <w:r w:rsidRPr="00176408">
              <w:rPr>
                <w:rFonts w:ascii="Arial" w:hAnsi="Arial" w:cs="Arial"/>
                <w:color w:val="000000" w:themeColor="text1"/>
              </w:rPr>
              <w:t>or Renewable Electricity Supplier (RE Supplier) for GEOP</w:t>
            </w:r>
            <w:r>
              <w:rPr>
                <w:rFonts w:ascii="Arial" w:hAnsi="Arial" w:cs="Arial"/>
                <w:color w:val="000000" w:themeColor="text1"/>
              </w:rPr>
              <w:t>.</w:t>
            </w:r>
          </w:p>
          <w:p w14:paraId="2C35DDF2" w14:textId="77777777" w:rsidR="001872F7" w:rsidRPr="00CE4175" w:rsidRDefault="001872F7" w:rsidP="00F330A4">
            <w:pPr>
              <w:pStyle w:val="Default"/>
              <w:rPr>
                <w:rFonts w:ascii="Arial" w:hAnsi="Arial" w:cs="Arial"/>
                <w:color w:val="auto"/>
                <w:sz w:val="22"/>
                <w:szCs w:val="22"/>
              </w:rPr>
            </w:pPr>
          </w:p>
        </w:tc>
        <w:tc>
          <w:tcPr>
            <w:tcW w:w="1441" w:type="pct"/>
          </w:tcPr>
          <w:p w14:paraId="3ECBF1AD" w14:textId="77777777" w:rsidR="001872F7" w:rsidRPr="00CE4175" w:rsidRDefault="001872F7" w:rsidP="00F330A4">
            <w:pPr>
              <w:pStyle w:val="ListParagraph"/>
              <w:ind w:left="216"/>
              <w:rPr>
                <w:rFonts w:ascii="Arial" w:hAnsi="Arial" w:cs="Arial"/>
                <w:sz w:val="22"/>
                <w:szCs w:val="22"/>
              </w:rPr>
            </w:pPr>
          </w:p>
        </w:tc>
        <w:tc>
          <w:tcPr>
            <w:tcW w:w="1442" w:type="pct"/>
          </w:tcPr>
          <w:p w14:paraId="31035E67" w14:textId="77777777" w:rsidR="001872F7" w:rsidRPr="00CE4175" w:rsidRDefault="001872F7" w:rsidP="00F330A4">
            <w:pPr>
              <w:pStyle w:val="ListParagraph"/>
              <w:ind w:left="216"/>
              <w:rPr>
                <w:rFonts w:ascii="Arial" w:hAnsi="Arial" w:cs="Arial"/>
                <w:sz w:val="22"/>
                <w:szCs w:val="22"/>
              </w:rPr>
            </w:pPr>
          </w:p>
        </w:tc>
      </w:tr>
      <w:tr w:rsidR="001872F7" w:rsidRPr="00CE4175" w14:paraId="63D8FAE7" w14:textId="77777777" w:rsidTr="00F330A4">
        <w:trPr>
          <w:trHeight w:val="98"/>
        </w:trPr>
        <w:tc>
          <w:tcPr>
            <w:tcW w:w="676" w:type="pct"/>
          </w:tcPr>
          <w:p w14:paraId="0F50C59C" w14:textId="18568DC0" w:rsidR="001872F7" w:rsidRPr="00CE4175" w:rsidRDefault="002A66EC" w:rsidP="00F330A4">
            <w:pPr>
              <w:rPr>
                <w:rFonts w:ascii="Arial" w:hAnsi="Arial" w:cs="Arial"/>
                <w:sz w:val="22"/>
                <w:szCs w:val="22"/>
              </w:rPr>
            </w:pPr>
            <w:r w:rsidRPr="00176408">
              <w:rPr>
                <w:rFonts w:ascii="Arial" w:hAnsi="Arial" w:cs="Arial"/>
                <w:b/>
                <w:bCs/>
              </w:rPr>
              <w:t>Section 2. Voluntary Participation in</w:t>
            </w:r>
            <w:r>
              <w:rPr>
                <w:rFonts w:ascii="Arial" w:hAnsi="Arial" w:cs="Arial"/>
                <w:b/>
                <w:bCs/>
              </w:rPr>
              <w:t xml:space="preserve"> RCOA</w:t>
            </w:r>
          </w:p>
        </w:tc>
        <w:tc>
          <w:tcPr>
            <w:tcW w:w="1441" w:type="pct"/>
          </w:tcPr>
          <w:p w14:paraId="2E58CDCC" w14:textId="77777777" w:rsidR="002A66EC" w:rsidRPr="00176408" w:rsidRDefault="002A66EC" w:rsidP="00F330A4">
            <w:pPr>
              <w:pStyle w:val="BodyText"/>
              <w:tabs>
                <w:tab w:val="left" w:pos="8910"/>
              </w:tabs>
              <w:spacing w:line="259" w:lineRule="auto"/>
              <w:ind w:left="-90"/>
              <w:jc w:val="both"/>
              <w:rPr>
                <w:rFonts w:ascii="Arial" w:hAnsi="Arial" w:cs="Arial"/>
              </w:rPr>
            </w:pPr>
            <w:r w:rsidRPr="00176408">
              <w:rPr>
                <w:rFonts w:ascii="Arial" w:hAnsi="Arial" w:cs="Arial"/>
              </w:rPr>
              <w:t xml:space="preserve">All eligible and interested </w:t>
            </w:r>
            <w:r>
              <w:rPr>
                <w:rFonts w:ascii="Arial" w:hAnsi="Arial" w:cs="Arial"/>
              </w:rPr>
              <w:t xml:space="preserve">electricity </w:t>
            </w:r>
            <w:r w:rsidRPr="00176408">
              <w:rPr>
                <w:rFonts w:ascii="Arial" w:hAnsi="Arial" w:cs="Arial"/>
              </w:rPr>
              <w:t xml:space="preserve">End-users may participate in the </w:t>
            </w:r>
            <w:r>
              <w:rPr>
                <w:rFonts w:ascii="Arial" w:hAnsi="Arial" w:cs="Arial"/>
              </w:rPr>
              <w:t>Contestable</w:t>
            </w:r>
            <w:r w:rsidRPr="00176408">
              <w:rPr>
                <w:rFonts w:ascii="Arial" w:hAnsi="Arial" w:cs="Arial"/>
              </w:rPr>
              <w:t xml:space="preserve"> Market </w:t>
            </w:r>
            <w:r>
              <w:rPr>
                <w:rFonts w:ascii="Arial" w:hAnsi="Arial" w:cs="Arial"/>
              </w:rPr>
              <w:t xml:space="preserve">as contestable customers </w:t>
            </w:r>
            <w:r w:rsidRPr="00176408">
              <w:rPr>
                <w:rFonts w:ascii="Arial" w:hAnsi="Arial" w:cs="Arial"/>
              </w:rPr>
              <w:t xml:space="preserve">based on the existing threshold </w:t>
            </w:r>
            <w:r>
              <w:rPr>
                <w:rFonts w:ascii="Arial" w:hAnsi="Arial" w:cs="Arial"/>
              </w:rPr>
              <w:t xml:space="preserve">level </w:t>
            </w:r>
            <w:r w:rsidRPr="00176408">
              <w:rPr>
                <w:rFonts w:ascii="Arial" w:hAnsi="Arial" w:cs="Arial"/>
              </w:rPr>
              <w:t>reviewed and approved by the ERC</w:t>
            </w:r>
            <w:r>
              <w:rPr>
                <w:rFonts w:ascii="Arial" w:hAnsi="Arial" w:cs="Arial"/>
              </w:rPr>
              <w:t>. Eligible End-users opting to switch from Captive Market to Contestable Market shall comply with</w:t>
            </w:r>
            <w:r w:rsidRPr="00176408">
              <w:rPr>
                <w:rFonts w:ascii="Arial" w:hAnsi="Arial" w:cs="Arial"/>
              </w:rPr>
              <w:t xml:space="preserve"> the procedures provided </w:t>
            </w:r>
            <w:r>
              <w:rPr>
                <w:rFonts w:ascii="Arial" w:hAnsi="Arial" w:cs="Arial"/>
              </w:rPr>
              <w:t xml:space="preserve">under </w:t>
            </w:r>
            <w:r w:rsidRPr="00176408">
              <w:rPr>
                <w:rFonts w:ascii="Arial" w:hAnsi="Arial" w:cs="Arial"/>
              </w:rPr>
              <w:t>the WESM Rules, Retail Rules and Market Manuals</w:t>
            </w:r>
            <w:r>
              <w:rPr>
                <w:rFonts w:ascii="Arial" w:hAnsi="Arial" w:cs="Arial"/>
              </w:rPr>
              <w:t>,</w:t>
            </w:r>
            <w:r w:rsidRPr="00176408">
              <w:rPr>
                <w:rFonts w:ascii="Arial" w:hAnsi="Arial" w:cs="Arial"/>
              </w:rPr>
              <w:t xml:space="preserve"> and other relevant laws and issuances</w:t>
            </w:r>
            <w:r>
              <w:rPr>
                <w:rFonts w:ascii="Arial" w:hAnsi="Arial" w:cs="Arial"/>
              </w:rPr>
              <w:t xml:space="preserve"> issued by the DOE and </w:t>
            </w:r>
            <w:r>
              <w:rPr>
                <w:rFonts w:ascii="Arial" w:hAnsi="Arial" w:cs="Arial"/>
              </w:rPr>
              <w:lastRenderedPageBreak/>
              <w:t>ERC</w:t>
            </w:r>
            <w:r w:rsidRPr="00176408">
              <w:rPr>
                <w:rFonts w:ascii="Arial" w:hAnsi="Arial" w:cs="Arial"/>
              </w:rPr>
              <w:t xml:space="preserve">. </w:t>
            </w:r>
          </w:p>
          <w:p w14:paraId="77741848" w14:textId="77777777" w:rsidR="001872F7" w:rsidRPr="00CE4175" w:rsidRDefault="001872F7" w:rsidP="00F330A4">
            <w:pPr>
              <w:pStyle w:val="BodyText"/>
              <w:tabs>
                <w:tab w:val="left" w:pos="8910"/>
              </w:tabs>
              <w:spacing w:line="259" w:lineRule="auto"/>
              <w:ind w:left="-90"/>
              <w:jc w:val="both"/>
              <w:rPr>
                <w:rFonts w:ascii="Arial" w:hAnsi="Arial" w:cs="Arial"/>
                <w:sz w:val="22"/>
                <w:szCs w:val="22"/>
              </w:rPr>
            </w:pPr>
          </w:p>
        </w:tc>
        <w:tc>
          <w:tcPr>
            <w:tcW w:w="1441" w:type="pct"/>
          </w:tcPr>
          <w:p w14:paraId="7E10B308" w14:textId="77777777" w:rsidR="001872F7" w:rsidRPr="00CE4175" w:rsidRDefault="001872F7" w:rsidP="00F330A4">
            <w:pPr>
              <w:pStyle w:val="ListParagraph"/>
              <w:ind w:left="216"/>
              <w:rPr>
                <w:rFonts w:ascii="Arial" w:hAnsi="Arial" w:cs="Arial"/>
                <w:sz w:val="22"/>
                <w:szCs w:val="22"/>
              </w:rPr>
            </w:pPr>
          </w:p>
        </w:tc>
        <w:tc>
          <w:tcPr>
            <w:tcW w:w="1442" w:type="pct"/>
          </w:tcPr>
          <w:p w14:paraId="61B124AD" w14:textId="77777777" w:rsidR="001872F7" w:rsidRPr="00CE4175" w:rsidRDefault="001872F7" w:rsidP="00F330A4">
            <w:pPr>
              <w:pStyle w:val="ListParagraph"/>
              <w:ind w:left="216"/>
              <w:rPr>
                <w:rFonts w:ascii="Arial" w:hAnsi="Arial" w:cs="Arial"/>
                <w:sz w:val="22"/>
                <w:szCs w:val="22"/>
              </w:rPr>
            </w:pPr>
          </w:p>
        </w:tc>
      </w:tr>
      <w:tr w:rsidR="00F330A4" w:rsidRPr="00CE4175" w14:paraId="7C1332E1" w14:textId="77777777" w:rsidTr="00F330A4">
        <w:trPr>
          <w:trHeight w:val="98"/>
        </w:trPr>
        <w:tc>
          <w:tcPr>
            <w:tcW w:w="676" w:type="pct"/>
          </w:tcPr>
          <w:p w14:paraId="3B437818" w14:textId="77777777" w:rsidR="00F330A4" w:rsidRPr="00176408" w:rsidRDefault="00F330A4" w:rsidP="00F330A4">
            <w:pPr>
              <w:rPr>
                <w:rFonts w:ascii="Arial" w:hAnsi="Arial" w:cs="Arial"/>
                <w:b/>
                <w:bCs/>
              </w:rPr>
            </w:pPr>
          </w:p>
        </w:tc>
        <w:tc>
          <w:tcPr>
            <w:tcW w:w="1441" w:type="pct"/>
          </w:tcPr>
          <w:p w14:paraId="62652360" w14:textId="77777777" w:rsidR="00F330A4" w:rsidRPr="00176408" w:rsidRDefault="00F330A4" w:rsidP="00F330A4">
            <w:pPr>
              <w:pStyle w:val="BodyText"/>
              <w:tabs>
                <w:tab w:val="left" w:pos="8910"/>
              </w:tabs>
              <w:spacing w:line="259" w:lineRule="auto"/>
              <w:ind w:left="-90"/>
              <w:jc w:val="both"/>
              <w:rPr>
                <w:rFonts w:ascii="Arial" w:hAnsi="Arial" w:cs="Arial"/>
              </w:rPr>
            </w:pPr>
            <w:r w:rsidRPr="00176408">
              <w:rPr>
                <w:rFonts w:ascii="Arial" w:hAnsi="Arial" w:cs="Arial"/>
              </w:rPr>
              <w:t xml:space="preserve">The lowering of contestability threshold shall be based on the ERC’s evaluation and study of identified factors, including the readiness of the market, the necessary infrastructure/system, customer awareness, and the economic impact of the migration of contestable customers in the </w:t>
            </w:r>
            <w:r>
              <w:rPr>
                <w:rFonts w:ascii="Arial" w:hAnsi="Arial" w:cs="Arial"/>
              </w:rPr>
              <w:t>Contestable</w:t>
            </w:r>
            <w:r w:rsidRPr="00176408">
              <w:rPr>
                <w:rFonts w:ascii="Arial" w:hAnsi="Arial" w:cs="Arial"/>
              </w:rPr>
              <w:t xml:space="preserve"> Market.</w:t>
            </w:r>
          </w:p>
          <w:p w14:paraId="2662FCB3" w14:textId="77777777" w:rsidR="00F330A4" w:rsidRPr="00176408" w:rsidRDefault="00F330A4" w:rsidP="00F330A4">
            <w:pPr>
              <w:pStyle w:val="BodyText"/>
              <w:tabs>
                <w:tab w:val="left" w:pos="8910"/>
              </w:tabs>
              <w:spacing w:line="259" w:lineRule="auto"/>
              <w:ind w:left="-90"/>
              <w:jc w:val="both"/>
              <w:rPr>
                <w:rFonts w:ascii="Arial" w:hAnsi="Arial" w:cs="Arial"/>
              </w:rPr>
            </w:pPr>
          </w:p>
        </w:tc>
        <w:tc>
          <w:tcPr>
            <w:tcW w:w="1441" w:type="pct"/>
          </w:tcPr>
          <w:p w14:paraId="3E85198C" w14:textId="77777777" w:rsidR="00F330A4" w:rsidRPr="00CE4175" w:rsidRDefault="00F330A4" w:rsidP="00F330A4">
            <w:pPr>
              <w:pStyle w:val="ListParagraph"/>
              <w:ind w:left="216"/>
              <w:rPr>
                <w:rFonts w:ascii="Arial" w:hAnsi="Arial" w:cs="Arial"/>
                <w:sz w:val="22"/>
                <w:szCs w:val="22"/>
              </w:rPr>
            </w:pPr>
          </w:p>
        </w:tc>
        <w:tc>
          <w:tcPr>
            <w:tcW w:w="1442" w:type="pct"/>
          </w:tcPr>
          <w:p w14:paraId="1331E462" w14:textId="77777777" w:rsidR="00F330A4" w:rsidRPr="00CE4175" w:rsidRDefault="00F330A4" w:rsidP="00F330A4">
            <w:pPr>
              <w:pStyle w:val="ListParagraph"/>
              <w:ind w:left="216"/>
              <w:rPr>
                <w:rFonts w:ascii="Arial" w:hAnsi="Arial" w:cs="Arial"/>
                <w:sz w:val="22"/>
                <w:szCs w:val="22"/>
              </w:rPr>
            </w:pPr>
          </w:p>
        </w:tc>
      </w:tr>
      <w:tr w:rsidR="001872F7" w:rsidRPr="00CE4175" w14:paraId="01ECDD3F" w14:textId="77777777" w:rsidTr="00F330A4">
        <w:trPr>
          <w:trHeight w:val="98"/>
        </w:trPr>
        <w:tc>
          <w:tcPr>
            <w:tcW w:w="676" w:type="pct"/>
          </w:tcPr>
          <w:p w14:paraId="36FAF3EF" w14:textId="0ED03813" w:rsidR="001872F7" w:rsidRPr="00CE4175" w:rsidRDefault="002A66EC" w:rsidP="00F330A4">
            <w:pPr>
              <w:rPr>
                <w:rFonts w:ascii="Arial" w:hAnsi="Arial" w:cs="Arial"/>
                <w:sz w:val="22"/>
                <w:szCs w:val="22"/>
              </w:rPr>
            </w:pPr>
            <w:r w:rsidRPr="00176408">
              <w:rPr>
                <w:rFonts w:ascii="Arial" w:hAnsi="Arial" w:cs="Arial"/>
                <w:b/>
                <w:bCs/>
              </w:rPr>
              <w:t>Section 3. Voluntary Demand Aggregation for Participation in RCOA</w:t>
            </w:r>
          </w:p>
        </w:tc>
        <w:tc>
          <w:tcPr>
            <w:tcW w:w="1441" w:type="pct"/>
          </w:tcPr>
          <w:p w14:paraId="7475C487" w14:textId="77777777" w:rsidR="002A66EC" w:rsidRPr="00176408" w:rsidRDefault="002A66EC" w:rsidP="00F330A4">
            <w:pPr>
              <w:pStyle w:val="BodyText"/>
              <w:tabs>
                <w:tab w:val="left" w:pos="8910"/>
              </w:tabs>
              <w:spacing w:line="259" w:lineRule="auto"/>
              <w:ind w:left="-90"/>
              <w:jc w:val="both"/>
              <w:rPr>
                <w:rFonts w:ascii="Arial" w:hAnsi="Arial" w:cs="Arial"/>
              </w:rPr>
            </w:pPr>
            <w:r w:rsidRPr="00176408">
              <w:rPr>
                <w:rFonts w:ascii="Arial" w:hAnsi="Arial" w:cs="Arial"/>
              </w:rPr>
              <w:t xml:space="preserve">Electricity End-users within </w:t>
            </w:r>
            <w:r w:rsidRPr="00176408">
              <w:rPr>
                <w:rFonts w:ascii="Arial" w:hAnsi="Arial" w:cs="Arial"/>
                <w:color w:val="000000" w:themeColor="text1"/>
              </w:rPr>
              <w:t xml:space="preserve">a contiguous area </w:t>
            </w:r>
            <w:bookmarkStart w:id="0" w:name="_Int_6bPaZmCs"/>
            <w:r w:rsidRPr="00176408">
              <w:rPr>
                <w:rFonts w:ascii="Arial" w:hAnsi="Arial" w:cs="Arial"/>
                <w:color w:val="000000" w:themeColor="text1"/>
              </w:rPr>
              <w:t>whose</w:t>
            </w:r>
            <w:bookmarkEnd w:id="0"/>
            <w:r w:rsidRPr="00176408">
              <w:rPr>
                <w:rFonts w:ascii="Arial" w:hAnsi="Arial" w:cs="Arial"/>
                <w:color w:val="000000" w:themeColor="text1"/>
              </w:rPr>
              <w:t xml:space="preserve"> aggregate average peak demand </w:t>
            </w:r>
            <w:r>
              <w:rPr>
                <w:rFonts w:ascii="Arial" w:hAnsi="Arial" w:cs="Arial"/>
                <w:color w:val="000000" w:themeColor="text1"/>
              </w:rPr>
              <w:t>falls under the current contestability threshold level</w:t>
            </w:r>
            <w:r w:rsidRPr="00176408">
              <w:rPr>
                <w:rFonts w:ascii="Arial" w:hAnsi="Arial" w:cs="Arial"/>
                <w:color w:val="000000" w:themeColor="text1"/>
              </w:rPr>
              <w:t xml:space="preserve"> may aggregate their demand to be part of the Contestable Market</w:t>
            </w:r>
            <w:r>
              <w:rPr>
                <w:rFonts w:ascii="Arial" w:hAnsi="Arial" w:cs="Arial"/>
                <w:color w:val="000000" w:themeColor="text1"/>
              </w:rPr>
              <w:t>. They</w:t>
            </w:r>
            <w:r w:rsidRPr="00176408">
              <w:rPr>
                <w:rFonts w:ascii="Arial" w:hAnsi="Arial" w:cs="Arial"/>
                <w:color w:val="000000" w:themeColor="text1"/>
              </w:rPr>
              <w:t xml:space="preserve"> may voluntarily enter into a Retail Supply Contract </w:t>
            </w:r>
            <w:r>
              <w:rPr>
                <w:rFonts w:ascii="Arial" w:hAnsi="Arial" w:cs="Arial"/>
                <w:color w:val="000000" w:themeColor="text1"/>
              </w:rPr>
              <w:t xml:space="preserve">(RSC) </w:t>
            </w:r>
            <w:r w:rsidRPr="00176408">
              <w:rPr>
                <w:rFonts w:ascii="Arial" w:hAnsi="Arial" w:cs="Arial"/>
                <w:color w:val="000000" w:themeColor="text1"/>
              </w:rPr>
              <w:t>with Retail Aggregators</w:t>
            </w:r>
            <w:r>
              <w:rPr>
                <w:rFonts w:ascii="Arial" w:hAnsi="Arial" w:cs="Arial"/>
                <w:color w:val="000000" w:themeColor="text1"/>
              </w:rPr>
              <w:t xml:space="preserve">, subject to the </w:t>
            </w:r>
            <w:r w:rsidRPr="00176408">
              <w:rPr>
                <w:rFonts w:ascii="Arial" w:hAnsi="Arial" w:cs="Arial"/>
              </w:rPr>
              <w:t xml:space="preserve">procedures provided </w:t>
            </w:r>
            <w:r>
              <w:rPr>
                <w:rFonts w:ascii="Arial" w:hAnsi="Arial" w:cs="Arial"/>
              </w:rPr>
              <w:t>under</w:t>
            </w:r>
            <w:r w:rsidRPr="00176408">
              <w:rPr>
                <w:rFonts w:ascii="Arial" w:hAnsi="Arial" w:cs="Arial"/>
              </w:rPr>
              <w:t xml:space="preserve"> the WESM Rules, Retail Rules and Market Manuals</w:t>
            </w:r>
            <w:r>
              <w:rPr>
                <w:rFonts w:ascii="Arial" w:hAnsi="Arial" w:cs="Arial"/>
              </w:rPr>
              <w:t>,</w:t>
            </w:r>
            <w:r w:rsidRPr="00176408">
              <w:rPr>
                <w:rFonts w:ascii="Arial" w:hAnsi="Arial" w:cs="Arial"/>
              </w:rPr>
              <w:t xml:space="preserve"> and other relevant laws and issuances</w:t>
            </w:r>
            <w:r>
              <w:rPr>
                <w:rFonts w:ascii="Arial" w:hAnsi="Arial" w:cs="Arial"/>
              </w:rPr>
              <w:t xml:space="preserve"> issued by the DOE and ERC</w:t>
            </w:r>
            <w:r w:rsidRPr="00176408">
              <w:rPr>
                <w:rFonts w:ascii="Arial" w:hAnsi="Arial" w:cs="Arial"/>
              </w:rPr>
              <w:t xml:space="preserve">. </w:t>
            </w:r>
          </w:p>
          <w:p w14:paraId="6FD69714" w14:textId="77777777" w:rsidR="001872F7" w:rsidRPr="00CE4175" w:rsidRDefault="001872F7" w:rsidP="00F330A4">
            <w:pPr>
              <w:pStyle w:val="Default"/>
              <w:rPr>
                <w:rFonts w:ascii="Arial" w:hAnsi="Arial" w:cs="Arial"/>
                <w:color w:val="auto"/>
                <w:sz w:val="22"/>
                <w:szCs w:val="22"/>
              </w:rPr>
            </w:pPr>
          </w:p>
        </w:tc>
        <w:tc>
          <w:tcPr>
            <w:tcW w:w="1441" w:type="pct"/>
          </w:tcPr>
          <w:p w14:paraId="39D99E09" w14:textId="77777777" w:rsidR="001872F7" w:rsidRPr="00CE4175" w:rsidRDefault="001872F7" w:rsidP="00F330A4">
            <w:pPr>
              <w:pStyle w:val="ListParagraph"/>
              <w:ind w:left="216"/>
              <w:rPr>
                <w:rFonts w:ascii="Arial" w:hAnsi="Arial" w:cs="Arial"/>
                <w:sz w:val="22"/>
                <w:szCs w:val="22"/>
              </w:rPr>
            </w:pPr>
          </w:p>
        </w:tc>
        <w:tc>
          <w:tcPr>
            <w:tcW w:w="1442" w:type="pct"/>
          </w:tcPr>
          <w:p w14:paraId="6C90968F" w14:textId="77777777" w:rsidR="001872F7" w:rsidRPr="00CE4175" w:rsidRDefault="001872F7" w:rsidP="00F330A4">
            <w:pPr>
              <w:pStyle w:val="ListParagraph"/>
              <w:ind w:left="216"/>
              <w:rPr>
                <w:rFonts w:ascii="Arial" w:hAnsi="Arial" w:cs="Arial"/>
                <w:sz w:val="22"/>
                <w:szCs w:val="22"/>
              </w:rPr>
            </w:pPr>
          </w:p>
        </w:tc>
      </w:tr>
      <w:tr w:rsidR="001872F7" w:rsidRPr="00CE4175" w14:paraId="40419F06" w14:textId="77777777" w:rsidTr="00F330A4">
        <w:trPr>
          <w:trHeight w:val="98"/>
        </w:trPr>
        <w:tc>
          <w:tcPr>
            <w:tcW w:w="676" w:type="pct"/>
          </w:tcPr>
          <w:p w14:paraId="298EA7F8" w14:textId="01B40578" w:rsidR="001872F7" w:rsidRPr="00CE4175" w:rsidRDefault="002A66EC" w:rsidP="00F330A4">
            <w:pPr>
              <w:rPr>
                <w:rFonts w:ascii="Arial" w:hAnsi="Arial" w:cs="Arial"/>
                <w:sz w:val="22"/>
                <w:szCs w:val="22"/>
              </w:rPr>
            </w:pPr>
            <w:r w:rsidRPr="00176408">
              <w:rPr>
                <w:rFonts w:ascii="Arial" w:hAnsi="Arial" w:cs="Arial"/>
                <w:b/>
                <w:bCs/>
              </w:rPr>
              <w:t>Section 4. Voluntary Participation in GEOP</w:t>
            </w:r>
          </w:p>
        </w:tc>
        <w:tc>
          <w:tcPr>
            <w:tcW w:w="1441" w:type="pct"/>
          </w:tcPr>
          <w:p w14:paraId="7430D775" w14:textId="43848935" w:rsidR="001872F7" w:rsidRPr="002A66EC" w:rsidRDefault="002A66EC" w:rsidP="00F330A4">
            <w:pPr>
              <w:pStyle w:val="BodyText"/>
              <w:tabs>
                <w:tab w:val="left" w:pos="8910"/>
              </w:tabs>
              <w:spacing w:line="259" w:lineRule="auto"/>
              <w:ind w:left="-90"/>
              <w:jc w:val="both"/>
              <w:rPr>
                <w:rFonts w:ascii="Arial" w:hAnsi="Arial" w:cs="Arial"/>
              </w:rPr>
            </w:pPr>
            <w:r w:rsidRPr="00176408">
              <w:rPr>
                <w:rFonts w:ascii="Arial" w:hAnsi="Arial" w:cs="Arial"/>
              </w:rPr>
              <w:t xml:space="preserve">All eligible and interested End-users may participate in the GEOP based on the existing threshold </w:t>
            </w:r>
            <w:r>
              <w:rPr>
                <w:rFonts w:ascii="Arial" w:hAnsi="Arial" w:cs="Arial"/>
              </w:rPr>
              <w:t xml:space="preserve">level </w:t>
            </w:r>
            <w:r w:rsidRPr="00176408">
              <w:rPr>
                <w:rFonts w:ascii="Arial" w:hAnsi="Arial" w:cs="Arial"/>
              </w:rPr>
              <w:t>reviewed and approved by the ERC</w:t>
            </w:r>
            <w:r>
              <w:rPr>
                <w:rFonts w:ascii="Arial" w:hAnsi="Arial" w:cs="Arial"/>
              </w:rPr>
              <w:t>. They</w:t>
            </w:r>
            <w:r w:rsidRPr="00176408">
              <w:rPr>
                <w:rFonts w:ascii="Arial" w:hAnsi="Arial" w:cs="Arial"/>
                <w:color w:val="000000" w:themeColor="text1"/>
              </w:rPr>
              <w:t xml:space="preserve"> may voluntarily enter into a </w:t>
            </w:r>
            <w:r>
              <w:rPr>
                <w:rFonts w:ascii="Arial" w:hAnsi="Arial" w:cs="Arial"/>
                <w:color w:val="000000" w:themeColor="text1"/>
              </w:rPr>
              <w:t>GEOP</w:t>
            </w:r>
            <w:r w:rsidRPr="00176408">
              <w:rPr>
                <w:rFonts w:ascii="Arial" w:hAnsi="Arial" w:cs="Arial"/>
                <w:color w:val="000000" w:themeColor="text1"/>
              </w:rPr>
              <w:t xml:space="preserve"> Supply Contract with </w:t>
            </w:r>
            <w:r>
              <w:rPr>
                <w:rFonts w:ascii="Arial" w:hAnsi="Arial" w:cs="Arial"/>
                <w:color w:val="000000" w:themeColor="text1"/>
              </w:rPr>
              <w:t>RE Supplier</w:t>
            </w:r>
            <w:r>
              <w:rPr>
                <w:rFonts w:ascii="Arial" w:hAnsi="Arial" w:cs="Arial"/>
              </w:rPr>
              <w:t xml:space="preserve">, </w:t>
            </w:r>
            <w:r>
              <w:rPr>
                <w:rFonts w:ascii="Arial" w:hAnsi="Arial" w:cs="Arial"/>
                <w:color w:val="000000" w:themeColor="text1"/>
              </w:rPr>
              <w:t xml:space="preserve">subject to the </w:t>
            </w:r>
            <w:r w:rsidRPr="00176408">
              <w:rPr>
                <w:rFonts w:ascii="Arial" w:hAnsi="Arial" w:cs="Arial"/>
              </w:rPr>
              <w:t xml:space="preserve">procedures provided in the WESM Rules, </w:t>
            </w:r>
            <w:r>
              <w:rPr>
                <w:rFonts w:ascii="Arial" w:hAnsi="Arial" w:cs="Arial"/>
              </w:rPr>
              <w:lastRenderedPageBreak/>
              <w:t xml:space="preserve">GEOP Rules, </w:t>
            </w:r>
            <w:r w:rsidRPr="00176408">
              <w:rPr>
                <w:rFonts w:ascii="Arial" w:hAnsi="Arial" w:cs="Arial"/>
              </w:rPr>
              <w:t>Retail Rules</w:t>
            </w:r>
            <w:r>
              <w:rPr>
                <w:rFonts w:ascii="Arial" w:hAnsi="Arial" w:cs="Arial"/>
              </w:rPr>
              <w:t xml:space="preserve">, </w:t>
            </w:r>
            <w:r w:rsidRPr="00176408">
              <w:rPr>
                <w:rFonts w:ascii="Arial" w:hAnsi="Arial" w:cs="Arial"/>
              </w:rPr>
              <w:t>Market Manuals</w:t>
            </w:r>
            <w:r>
              <w:rPr>
                <w:rFonts w:ascii="Arial" w:hAnsi="Arial" w:cs="Arial"/>
              </w:rPr>
              <w:t>,</w:t>
            </w:r>
            <w:r w:rsidRPr="00176408">
              <w:rPr>
                <w:rFonts w:ascii="Arial" w:hAnsi="Arial" w:cs="Arial"/>
              </w:rPr>
              <w:t xml:space="preserve"> and other relevant laws and issuances</w:t>
            </w:r>
            <w:r>
              <w:rPr>
                <w:rFonts w:ascii="Arial" w:hAnsi="Arial" w:cs="Arial"/>
              </w:rPr>
              <w:t xml:space="preserve"> by the DOE and ERC</w:t>
            </w:r>
            <w:r w:rsidRPr="00176408">
              <w:rPr>
                <w:rFonts w:ascii="Arial" w:hAnsi="Arial" w:cs="Arial"/>
              </w:rPr>
              <w:t xml:space="preserve">. </w:t>
            </w:r>
          </w:p>
        </w:tc>
        <w:tc>
          <w:tcPr>
            <w:tcW w:w="1441" w:type="pct"/>
          </w:tcPr>
          <w:p w14:paraId="43DCE3A4" w14:textId="77777777" w:rsidR="001872F7" w:rsidRPr="00CE4175" w:rsidRDefault="001872F7" w:rsidP="00F330A4">
            <w:pPr>
              <w:pStyle w:val="ListParagraph"/>
              <w:ind w:left="216"/>
              <w:rPr>
                <w:rFonts w:ascii="Arial" w:hAnsi="Arial" w:cs="Arial"/>
                <w:sz w:val="22"/>
                <w:szCs w:val="22"/>
              </w:rPr>
            </w:pPr>
          </w:p>
        </w:tc>
        <w:tc>
          <w:tcPr>
            <w:tcW w:w="1442" w:type="pct"/>
          </w:tcPr>
          <w:p w14:paraId="0C15ED69" w14:textId="77777777" w:rsidR="001872F7" w:rsidRPr="00CE4175" w:rsidRDefault="001872F7" w:rsidP="00F330A4">
            <w:pPr>
              <w:pStyle w:val="ListParagraph"/>
              <w:ind w:left="216"/>
              <w:rPr>
                <w:rFonts w:ascii="Arial" w:hAnsi="Arial" w:cs="Arial"/>
                <w:sz w:val="22"/>
                <w:szCs w:val="22"/>
              </w:rPr>
            </w:pPr>
          </w:p>
        </w:tc>
      </w:tr>
      <w:tr w:rsidR="001872F7" w:rsidRPr="00CE4175" w14:paraId="723497DC" w14:textId="77777777" w:rsidTr="00F330A4">
        <w:trPr>
          <w:trHeight w:val="98"/>
        </w:trPr>
        <w:tc>
          <w:tcPr>
            <w:tcW w:w="676" w:type="pct"/>
          </w:tcPr>
          <w:p w14:paraId="4D6209D6" w14:textId="77777777" w:rsidR="001872F7" w:rsidRPr="00CE4175" w:rsidRDefault="001872F7" w:rsidP="00F330A4">
            <w:pPr>
              <w:rPr>
                <w:rFonts w:ascii="Arial" w:hAnsi="Arial" w:cs="Arial"/>
                <w:sz w:val="22"/>
                <w:szCs w:val="22"/>
              </w:rPr>
            </w:pPr>
          </w:p>
        </w:tc>
        <w:tc>
          <w:tcPr>
            <w:tcW w:w="1441" w:type="pct"/>
          </w:tcPr>
          <w:p w14:paraId="1D25412D" w14:textId="77777777" w:rsidR="002A66EC" w:rsidRPr="00176408" w:rsidRDefault="002A66EC" w:rsidP="00F330A4">
            <w:pPr>
              <w:pStyle w:val="BodyText"/>
              <w:tabs>
                <w:tab w:val="left" w:pos="8910"/>
              </w:tabs>
              <w:spacing w:line="259" w:lineRule="auto"/>
              <w:ind w:left="-90"/>
              <w:jc w:val="both"/>
              <w:rPr>
                <w:rFonts w:ascii="Arial" w:hAnsi="Arial" w:cs="Arial"/>
              </w:rPr>
            </w:pPr>
            <w:r w:rsidRPr="00176408">
              <w:rPr>
                <w:rFonts w:ascii="Arial" w:hAnsi="Arial" w:cs="Arial"/>
              </w:rPr>
              <w:t xml:space="preserve">All End-users with demand below </w:t>
            </w:r>
            <w:r>
              <w:rPr>
                <w:rFonts w:ascii="Arial" w:hAnsi="Arial" w:cs="Arial"/>
              </w:rPr>
              <w:t>the current threshold</w:t>
            </w:r>
            <w:r w:rsidRPr="00176408">
              <w:rPr>
                <w:rFonts w:ascii="Arial" w:hAnsi="Arial" w:cs="Arial"/>
              </w:rPr>
              <w:t xml:space="preserve"> </w:t>
            </w:r>
            <w:r>
              <w:rPr>
                <w:rFonts w:ascii="Arial" w:hAnsi="Arial" w:cs="Arial"/>
              </w:rPr>
              <w:t xml:space="preserve">level </w:t>
            </w:r>
            <w:r w:rsidRPr="00176408">
              <w:rPr>
                <w:rFonts w:ascii="Arial" w:hAnsi="Arial" w:cs="Arial"/>
              </w:rPr>
              <w:t xml:space="preserve">may participate in the GEOP after </w:t>
            </w:r>
            <w:r>
              <w:rPr>
                <w:rFonts w:ascii="Arial" w:hAnsi="Arial" w:cs="Arial"/>
              </w:rPr>
              <w:t xml:space="preserve">the </w:t>
            </w:r>
            <w:r w:rsidRPr="00176408">
              <w:rPr>
                <w:rFonts w:ascii="Arial" w:hAnsi="Arial" w:cs="Arial"/>
              </w:rPr>
              <w:t xml:space="preserve">DOE, in consultation with National Renewable Energy Board and other industry stakeholders, determines the technical requirements and </w:t>
            </w:r>
            <w:r>
              <w:rPr>
                <w:rFonts w:ascii="Arial" w:hAnsi="Arial" w:cs="Arial"/>
              </w:rPr>
              <w:t xml:space="preserve">ensures that the </w:t>
            </w:r>
            <w:r w:rsidRPr="00176408">
              <w:rPr>
                <w:rFonts w:ascii="Arial" w:hAnsi="Arial" w:cs="Arial"/>
              </w:rPr>
              <w:t>standards are already met.</w:t>
            </w:r>
          </w:p>
          <w:p w14:paraId="7DDAE279" w14:textId="77777777" w:rsidR="001872F7" w:rsidRPr="00CE4175" w:rsidRDefault="001872F7" w:rsidP="00F330A4">
            <w:pPr>
              <w:pStyle w:val="Default"/>
              <w:rPr>
                <w:rFonts w:ascii="Arial" w:hAnsi="Arial" w:cs="Arial"/>
                <w:color w:val="auto"/>
                <w:sz w:val="22"/>
                <w:szCs w:val="22"/>
              </w:rPr>
            </w:pPr>
          </w:p>
        </w:tc>
        <w:tc>
          <w:tcPr>
            <w:tcW w:w="1441" w:type="pct"/>
          </w:tcPr>
          <w:p w14:paraId="4EB8590D" w14:textId="77777777" w:rsidR="001872F7" w:rsidRPr="00CE4175" w:rsidRDefault="001872F7" w:rsidP="00F330A4">
            <w:pPr>
              <w:pStyle w:val="ListParagraph"/>
              <w:ind w:left="216"/>
              <w:rPr>
                <w:rFonts w:ascii="Arial" w:hAnsi="Arial" w:cs="Arial"/>
                <w:sz w:val="22"/>
                <w:szCs w:val="22"/>
              </w:rPr>
            </w:pPr>
          </w:p>
        </w:tc>
        <w:tc>
          <w:tcPr>
            <w:tcW w:w="1442" w:type="pct"/>
          </w:tcPr>
          <w:p w14:paraId="113D2802" w14:textId="77777777" w:rsidR="001872F7" w:rsidRPr="00CE4175" w:rsidRDefault="001872F7" w:rsidP="00F330A4">
            <w:pPr>
              <w:pStyle w:val="ListParagraph"/>
              <w:ind w:left="216"/>
              <w:rPr>
                <w:rFonts w:ascii="Arial" w:hAnsi="Arial" w:cs="Arial"/>
                <w:sz w:val="22"/>
                <w:szCs w:val="22"/>
              </w:rPr>
            </w:pPr>
          </w:p>
        </w:tc>
      </w:tr>
      <w:tr w:rsidR="001872F7" w:rsidRPr="00CE4175" w14:paraId="579EBD86" w14:textId="77777777" w:rsidTr="00F330A4">
        <w:trPr>
          <w:trHeight w:val="98"/>
        </w:trPr>
        <w:tc>
          <w:tcPr>
            <w:tcW w:w="676" w:type="pct"/>
          </w:tcPr>
          <w:p w14:paraId="1BC630B5" w14:textId="367BE39C" w:rsidR="001872F7" w:rsidRPr="00CE4175" w:rsidRDefault="002A66EC" w:rsidP="00F330A4">
            <w:pPr>
              <w:rPr>
                <w:rFonts w:ascii="Arial" w:hAnsi="Arial" w:cs="Arial"/>
                <w:sz w:val="22"/>
                <w:szCs w:val="22"/>
              </w:rPr>
            </w:pPr>
            <w:r w:rsidRPr="00176408">
              <w:rPr>
                <w:rFonts w:ascii="Arial" w:hAnsi="Arial" w:cs="Arial"/>
                <w:b/>
                <w:bCs/>
              </w:rPr>
              <w:t>Section 5. Responsibilities of the Energy Agencies and Stakeholders</w:t>
            </w:r>
          </w:p>
        </w:tc>
        <w:tc>
          <w:tcPr>
            <w:tcW w:w="1441" w:type="pct"/>
          </w:tcPr>
          <w:p w14:paraId="55BC5422" w14:textId="0A4AF8B6" w:rsidR="001872F7" w:rsidRPr="00CE4175" w:rsidRDefault="002A66EC" w:rsidP="00F330A4">
            <w:pPr>
              <w:pStyle w:val="Default"/>
              <w:ind w:left="-107"/>
              <w:jc w:val="both"/>
              <w:rPr>
                <w:rFonts w:ascii="Arial" w:hAnsi="Arial" w:cs="Arial"/>
                <w:color w:val="auto"/>
                <w:sz w:val="22"/>
                <w:szCs w:val="22"/>
              </w:rPr>
            </w:pPr>
            <w:r w:rsidRPr="00176408">
              <w:rPr>
                <w:rFonts w:ascii="Arial" w:hAnsi="Arial" w:cs="Arial"/>
              </w:rPr>
              <w:t>Pursuant to their respective mandates and functions under the EPIRA and its Implementing Rules and Regulations, the WESM Rules and Manuals, and other relevant laws and issuances, ERC, IEMOP, PEMC, National Electrification Administration (NEA), National Grid Corporation of the Philippines (NGCP), Distribution Utilities (DUs) and other concerned stakeholders in Mindanao are enjoined to extend their full support and cooperation to ensure full registration and compliance to the WESM, and to prepare the necessary conditions to successfully implement the RCOA, Retail Aggregation</w:t>
            </w:r>
            <w:r>
              <w:rPr>
                <w:rFonts w:ascii="Arial" w:hAnsi="Arial" w:cs="Arial"/>
              </w:rPr>
              <w:t>,</w:t>
            </w:r>
            <w:r w:rsidRPr="00176408">
              <w:rPr>
                <w:rFonts w:ascii="Arial" w:hAnsi="Arial" w:cs="Arial"/>
              </w:rPr>
              <w:t xml:space="preserve"> and GEOP in Mindanao.</w:t>
            </w:r>
          </w:p>
        </w:tc>
        <w:tc>
          <w:tcPr>
            <w:tcW w:w="1441" w:type="pct"/>
          </w:tcPr>
          <w:p w14:paraId="0E0CF854" w14:textId="77777777" w:rsidR="001872F7" w:rsidRPr="00CE4175" w:rsidRDefault="001872F7" w:rsidP="00F330A4">
            <w:pPr>
              <w:pStyle w:val="ListParagraph"/>
              <w:ind w:left="216"/>
              <w:rPr>
                <w:rFonts w:ascii="Arial" w:hAnsi="Arial" w:cs="Arial"/>
                <w:sz w:val="22"/>
                <w:szCs w:val="22"/>
              </w:rPr>
            </w:pPr>
          </w:p>
        </w:tc>
        <w:tc>
          <w:tcPr>
            <w:tcW w:w="1442" w:type="pct"/>
          </w:tcPr>
          <w:p w14:paraId="229F62D1" w14:textId="77777777" w:rsidR="001872F7" w:rsidRPr="00CE4175" w:rsidRDefault="001872F7" w:rsidP="00F330A4">
            <w:pPr>
              <w:pStyle w:val="ListParagraph"/>
              <w:ind w:left="216"/>
              <w:rPr>
                <w:rFonts w:ascii="Arial" w:hAnsi="Arial" w:cs="Arial"/>
                <w:sz w:val="22"/>
                <w:szCs w:val="22"/>
              </w:rPr>
            </w:pPr>
          </w:p>
        </w:tc>
      </w:tr>
      <w:tr w:rsidR="001872F7" w:rsidRPr="00CE4175" w14:paraId="39AE5785" w14:textId="77777777" w:rsidTr="00F330A4">
        <w:trPr>
          <w:trHeight w:val="98"/>
        </w:trPr>
        <w:tc>
          <w:tcPr>
            <w:tcW w:w="676" w:type="pct"/>
          </w:tcPr>
          <w:p w14:paraId="0BF435ED" w14:textId="4BB7B140" w:rsidR="001872F7" w:rsidRPr="00CE4175" w:rsidRDefault="002A66EC" w:rsidP="00F330A4">
            <w:pPr>
              <w:rPr>
                <w:rFonts w:ascii="Arial" w:hAnsi="Arial" w:cs="Arial"/>
                <w:sz w:val="22"/>
                <w:szCs w:val="22"/>
              </w:rPr>
            </w:pPr>
            <w:r w:rsidRPr="00176408">
              <w:rPr>
                <w:rFonts w:ascii="Arial" w:hAnsi="Arial" w:cs="Arial"/>
                <w:b/>
                <w:bCs/>
              </w:rPr>
              <w:t>Section 6. Transitory Provision</w:t>
            </w:r>
          </w:p>
        </w:tc>
        <w:tc>
          <w:tcPr>
            <w:tcW w:w="1441" w:type="pct"/>
          </w:tcPr>
          <w:p w14:paraId="5E83FBFE" w14:textId="156BA000" w:rsidR="001872F7" w:rsidRPr="002A66EC" w:rsidRDefault="002A66EC" w:rsidP="00F330A4">
            <w:pPr>
              <w:pStyle w:val="BodyText"/>
              <w:spacing w:line="259" w:lineRule="auto"/>
              <w:ind w:left="-90"/>
              <w:jc w:val="both"/>
              <w:rPr>
                <w:rFonts w:ascii="Arial" w:hAnsi="Arial" w:cs="Arial"/>
              </w:rPr>
            </w:pPr>
            <w:r w:rsidRPr="00176408">
              <w:rPr>
                <w:rFonts w:ascii="Arial" w:hAnsi="Arial" w:cs="Arial"/>
              </w:rPr>
              <w:t xml:space="preserve">One (1) month prior to the commencement date, all eligible and interested End-users, RES, </w:t>
            </w:r>
            <w:r>
              <w:rPr>
                <w:rFonts w:ascii="Arial" w:hAnsi="Arial" w:cs="Arial"/>
              </w:rPr>
              <w:t xml:space="preserve">Retail Aggregators, </w:t>
            </w:r>
            <w:r w:rsidRPr="00176408">
              <w:rPr>
                <w:rFonts w:ascii="Arial" w:hAnsi="Arial" w:cs="Arial"/>
              </w:rPr>
              <w:t>RE Suppliers</w:t>
            </w:r>
            <w:r>
              <w:rPr>
                <w:rFonts w:ascii="Arial" w:hAnsi="Arial" w:cs="Arial"/>
              </w:rPr>
              <w:t>,</w:t>
            </w:r>
            <w:r w:rsidRPr="00176408">
              <w:rPr>
                <w:rFonts w:ascii="Arial" w:hAnsi="Arial" w:cs="Arial"/>
              </w:rPr>
              <w:t xml:space="preserve"> and Metering </w:t>
            </w:r>
            <w:r w:rsidRPr="00176408">
              <w:rPr>
                <w:rFonts w:ascii="Arial" w:hAnsi="Arial" w:cs="Arial"/>
              </w:rPr>
              <w:lastRenderedPageBreak/>
              <w:t>Services Providers shall comply with the registration requirements in the WESM to ensure orderly implementation of RCOA, Retail Aggregation</w:t>
            </w:r>
            <w:r>
              <w:rPr>
                <w:rFonts w:ascii="Arial" w:hAnsi="Arial" w:cs="Arial"/>
              </w:rPr>
              <w:t>,</w:t>
            </w:r>
            <w:r w:rsidRPr="00176408">
              <w:rPr>
                <w:rFonts w:ascii="Arial" w:hAnsi="Arial" w:cs="Arial"/>
              </w:rPr>
              <w:t xml:space="preserve"> and GEOP in Mindanao</w:t>
            </w:r>
            <w:r>
              <w:rPr>
                <w:rFonts w:ascii="Arial" w:hAnsi="Arial" w:cs="Arial"/>
              </w:rPr>
              <w:t>.</w:t>
            </w:r>
          </w:p>
        </w:tc>
        <w:tc>
          <w:tcPr>
            <w:tcW w:w="1441" w:type="pct"/>
          </w:tcPr>
          <w:p w14:paraId="635804DB" w14:textId="77777777" w:rsidR="001872F7" w:rsidRPr="00CE4175" w:rsidRDefault="001872F7" w:rsidP="00F330A4">
            <w:pPr>
              <w:pStyle w:val="ListParagraph"/>
              <w:ind w:left="216"/>
              <w:rPr>
                <w:rFonts w:ascii="Arial" w:hAnsi="Arial" w:cs="Arial"/>
                <w:sz w:val="22"/>
                <w:szCs w:val="22"/>
              </w:rPr>
            </w:pPr>
          </w:p>
        </w:tc>
        <w:tc>
          <w:tcPr>
            <w:tcW w:w="1442" w:type="pct"/>
          </w:tcPr>
          <w:p w14:paraId="42BF22FF" w14:textId="77777777" w:rsidR="001872F7" w:rsidRPr="00CE4175" w:rsidRDefault="001872F7" w:rsidP="00F330A4">
            <w:pPr>
              <w:pStyle w:val="ListParagraph"/>
              <w:ind w:left="216"/>
              <w:rPr>
                <w:rFonts w:ascii="Arial" w:hAnsi="Arial" w:cs="Arial"/>
                <w:sz w:val="22"/>
                <w:szCs w:val="22"/>
              </w:rPr>
            </w:pPr>
          </w:p>
        </w:tc>
      </w:tr>
      <w:tr w:rsidR="001872F7" w:rsidRPr="00CE4175" w14:paraId="6A6E94DA" w14:textId="77777777" w:rsidTr="00F330A4">
        <w:trPr>
          <w:trHeight w:val="98"/>
        </w:trPr>
        <w:tc>
          <w:tcPr>
            <w:tcW w:w="676" w:type="pct"/>
          </w:tcPr>
          <w:p w14:paraId="3BC8023D" w14:textId="7ADFDF1B" w:rsidR="001872F7" w:rsidRPr="00CE4175" w:rsidRDefault="002A66EC" w:rsidP="00F330A4">
            <w:pPr>
              <w:rPr>
                <w:rFonts w:ascii="Arial" w:hAnsi="Arial" w:cs="Arial"/>
                <w:sz w:val="22"/>
                <w:szCs w:val="22"/>
              </w:rPr>
            </w:pPr>
            <w:r w:rsidRPr="00176408">
              <w:rPr>
                <w:rFonts w:ascii="Arial" w:hAnsi="Arial" w:cs="Arial"/>
                <w:b/>
                <w:bCs/>
              </w:rPr>
              <w:lastRenderedPageBreak/>
              <w:t>Section 7. Reportorial Requirements</w:t>
            </w:r>
          </w:p>
        </w:tc>
        <w:tc>
          <w:tcPr>
            <w:tcW w:w="1441" w:type="pct"/>
          </w:tcPr>
          <w:p w14:paraId="4B647F24" w14:textId="634C1832" w:rsidR="001872F7" w:rsidRPr="002A66EC" w:rsidRDefault="002A66EC" w:rsidP="00F330A4">
            <w:pPr>
              <w:pStyle w:val="BodyText"/>
              <w:spacing w:line="259" w:lineRule="auto"/>
              <w:ind w:left="-90"/>
              <w:jc w:val="both"/>
              <w:rPr>
                <w:rFonts w:ascii="Arial" w:hAnsi="Arial" w:cs="Arial"/>
                <w:b/>
                <w:bCs/>
              </w:rPr>
            </w:pPr>
            <w:r w:rsidRPr="00176408">
              <w:rPr>
                <w:rFonts w:ascii="Arial" w:hAnsi="Arial" w:cs="Arial"/>
              </w:rPr>
              <w:t>All DUs, RES</w:t>
            </w:r>
            <w:r>
              <w:rPr>
                <w:rFonts w:ascii="Arial" w:hAnsi="Arial" w:cs="Arial"/>
              </w:rPr>
              <w:t xml:space="preserve">/Retail </w:t>
            </w:r>
            <w:r w:rsidRPr="00176408">
              <w:rPr>
                <w:rFonts w:ascii="Arial" w:hAnsi="Arial" w:cs="Arial"/>
              </w:rPr>
              <w:t>Aggregators</w:t>
            </w:r>
            <w:r>
              <w:rPr>
                <w:rFonts w:ascii="Arial" w:hAnsi="Arial" w:cs="Arial"/>
              </w:rPr>
              <w:t>,</w:t>
            </w:r>
            <w:r w:rsidRPr="00176408">
              <w:rPr>
                <w:rFonts w:ascii="Arial" w:hAnsi="Arial" w:cs="Arial"/>
              </w:rPr>
              <w:t xml:space="preserve"> </w:t>
            </w:r>
            <w:r>
              <w:rPr>
                <w:rFonts w:ascii="Arial" w:hAnsi="Arial" w:cs="Arial"/>
              </w:rPr>
              <w:t xml:space="preserve">and RE Suppliers </w:t>
            </w:r>
            <w:r w:rsidRPr="00176408">
              <w:rPr>
                <w:rFonts w:ascii="Arial" w:hAnsi="Arial" w:cs="Arial"/>
              </w:rPr>
              <w:t xml:space="preserve">shall submit to the DOE reportorial requirements in accordance with the provisions of DOE DC No. DC2023-03-0005, “Providing Supplemental Policy for the Systematic Management of the DOE Reportorial Requirements for Electric Power Industry Participants – </w:t>
            </w:r>
            <w:r w:rsidRPr="003517A5">
              <w:rPr>
                <w:rFonts w:ascii="Arial" w:hAnsi="Arial" w:cs="Arial"/>
                <w:i/>
                <w:iCs/>
              </w:rPr>
              <w:t>Distribution Utilities</w:t>
            </w:r>
            <w:r w:rsidRPr="00176408">
              <w:rPr>
                <w:rFonts w:ascii="Arial" w:hAnsi="Arial" w:cs="Arial"/>
              </w:rPr>
              <w:t xml:space="preserve"> and DOE DC No. DC2023-04-0006, “Providing Supplemental Policy for the Systematic Management of the DOE Reportorial Requirements for Electric Power Industry Participants – </w:t>
            </w:r>
            <w:r w:rsidRPr="003517A5">
              <w:rPr>
                <w:rFonts w:ascii="Arial" w:hAnsi="Arial" w:cs="Arial"/>
                <w:i/>
                <w:iCs/>
              </w:rPr>
              <w:t>Retail Electricity Suppliers</w:t>
            </w:r>
            <w:r>
              <w:rPr>
                <w:rFonts w:ascii="Arial" w:hAnsi="Arial" w:cs="Arial"/>
              </w:rPr>
              <w:t xml:space="preserve"> </w:t>
            </w:r>
            <w:r w:rsidRPr="00176408">
              <w:rPr>
                <w:rFonts w:ascii="Arial" w:hAnsi="Arial" w:cs="Arial"/>
              </w:rPr>
              <w:t>on the implementation of RCOA, Retail Aggregation, and GEOP in Mindanao and shall include the same in their respective Distribution Development Plan.</w:t>
            </w:r>
          </w:p>
        </w:tc>
        <w:tc>
          <w:tcPr>
            <w:tcW w:w="1441" w:type="pct"/>
          </w:tcPr>
          <w:p w14:paraId="234357BE" w14:textId="77777777" w:rsidR="001872F7" w:rsidRPr="00CE4175" w:rsidRDefault="001872F7" w:rsidP="00F330A4">
            <w:pPr>
              <w:pStyle w:val="ListParagraph"/>
              <w:ind w:left="216"/>
              <w:rPr>
                <w:rFonts w:ascii="Arial" w:hAnsi="Arial" w:cs="Arial"/>
                <w:sz w:val="22"/>
                <w:szCs w:val="22"/>
              </w:rPr>
            </w:pPr>
          </w:p>
        </w:tc>
        <w:tc>
          <w:tcPr>
            <w:tcW w:w="1442" w:type="pct"/>
          </w:tcPr>
          <w:p w14:paraId="6989E6F8" w14:textId="77777777" w:rsidR="001872F7" w:rsidRPr="00CE4175" w:rsidRDefault="001872F7" w:rsidP="00F330A4">
            <w:pPr>
              <w:pStyle w:val="ListParagraph"/>
              <w:ind w:left="216"/>
              <w:rPr>
                <w:rFonts w:ascii="Arial" w:hAnsi="Arial" w:cs="Arial"/>
                <w:sz w:val="22"/>
                <w:szCs w:val="22"/>
              </w:rPr>
            </w:pPr>
          </w:p>
        </w:tc>
      </w:tr>
      <w:tr w:rsidR="001872F7" w:rsidRPr="00CE4175" w14:paraId="24F22E94" w14:textId="77777777" w:rsidTr="00F330A4">
        <w:trPr>
          <w:trHeight w:val="98"/>
        </w:trPr>
        <w:tc>
          <w:tcPr>
            <w:tcW w:w="676" w:type="pct"/>
          </w:tcPr>
          <w:p w14:paraId="3D0EDDEE" w14:textId="77777777" w:rsidR="001872F7" w:rsidRPr="00CE4175" w:rsidRDefault="001872F7" w:rsidP="00F330A4">
            <w:pPr>
              <w:rPr>
                <w:rFonts w:ascii="Arial" w:hAnsi="Arial" w:cs="Arial"/>
                <w:sz w:val="22"/>
                <w:szCs w:val="22"/>
              </w:rPr>
            </w:pPr>
          </w:p>
        </w:tc>
        <w:tc>
          <w:tcPr>
            <w:tcW w:w="1441" w:type="pct"/>
          </w:tcPr>
          <w:p w14:paraId="79FFCD58" w14:textId="4E87FD75" w:rsidR="001872F7" w:rsidRPr="002A66EC" w:rsidRDefault="002A66EC" w:rsidP="00F330A4">
            <w:pPr>
              <w:pStyle w:val="BodyText"/>
              <w:spacing w:line="259" w:lineRule="auto"/>
              <w:ind w:left="-90"/>
              <w:jc w:val="both"/>
              <w:rPr>
                <w:rFonts w:ascii="Arial" w:hAnsi="Arial" w:cs="Arial"/>
              </w:rPr>
            </w:pPr>
            <w:r w:rsidRPr="00176408">
              <w:rPr>
                <w:rFonts w:ascii="Arial" w:hAnsi="Arial" w:cs="Arial"/>
              </w:rPr>
              <w:t>All DUs and National Transmission Corporation</w:t>
            </w:r>
            <w:r>
              <w:rPr>
                <w:rFonts w:ascii="Arial" w:hAnsi="Arial" w:cs="Arial"/>
              </w:rPr>
              <w:t xml:space="preserve"> </w:t>
            </w:r>
            <w:r w:rsidRPr="00176408">
              <w:rPr>
                <w:rFonts w:ascii="Arial" w:hAnsi="Arial" w:cs="Arial"/>
              </w:rPr>
              <w:t>or its Successor-in-Interest, which is currently the NGCP, shall submit the list of End-users intending to participate in RCOA and GEOP and End-users who signed an RSC with RES or GEOP Supply Contract with RE Supplier</w:t>
            </w:r>
            <w:r>
              <w:rPr>
                <w:rFonts w:ascii="Arial" w:hAnsi="Arial" w:cs="Arial"/>
              </w:rPr>
              <w:t>.</w:t>
            </w:r>
          </w:p>
        </w:tc>
        <w:tc>
          <w:tcPr>
            <w:tcW w:w="1441" w:type="pct"/>
          </w:tcPr>
          <w:p w14:paraId="63A27FD8" w14:textId="77777777" w:rsidR="001872F7" w:rsidRPr="00CE4175" w:rsidRDefault="001872F7" w:rsidP="00F330A4">
            <w:pPr>
              <w:pStyle w:val="ListParagraph"/>
              <w:ind w:left="216"/>
              <w:rPr>
                <w:rFonts w:ascii="Arial" w:hAnsi="Arial" w:cs="Arial"/>
                <w:sz w:val="22"/>
                <w:szCs w:val="22"/>
              </w:rPr>
            </w:pPr>
            <w:bookmarkStart w:id="1" w:name="_GoBack"/>
            <w:bookmarkEnd w:id="1"/>
          </w:p>
        </w:tc>
        <w:tc>
          <w:tcPr>
            <w:tcW w:w="1442" w:type="pct"/>
          </w:tcPr>
          <w:p w14:paraId="6C0F6067" w14:textId="77777777" w:rsidR="001872F7" w:rsidRPr="00CE4175" w:rsidRDefault="001872F7" w:rsidP="00F330A4">
            <w:pPr>
              <w:pStyle w:val="ListParagraph"/>
              <w:ind w:left="216"/>
              <w:rPr>
                <w:rFonts w:ascii="Arial" w:hAnsi="Arial" w:cs="Arial"/>
                <w:sz w:val="22"/>
                <w:szCs w:val="22"/>
              </w:rPr>
            </w:pPr>
          </w:p>
        </w:tc>
      </w:tr>
      <w:tr w:rsidR="001872F7" w:rsidRPr="00CE4175" w14:paraId="5BAC7016" w14:textId="77777777" w:rsidTr="00F330A4">
        <w:trPr>
          <w:trHeight w:val="98"/>
        </w:trPr>
        <w:tc>
          <w:tcPr>
            <w:tcW w:w="676" w:type="pct"/>
          </w:tcPr>
          <w:p w14:paraId="6DD42879" w14:textId="77777777" w:rsidR="001872F7" w:rsidRPr="00CE4175" w:rsidRDefault="001872F7" w:rsidP="00F330A4">
            <w:pPr>
              <w:rPr>
                <w:rFonts w:ascii="Arial" w:hAnsi="Arial" w:cs="Arial"/>
                <w:sz w:val="22"/>
                <w:szCs w:val="22"/>
              </w:rPr>
            </w:pPr>
          </w:p>
        </w:tc>
        <w:tc>
          <w:tcPr>
            <w:tcW w:w="1441" w:type="pct"/>
          </w:tcPr>
          <w:p w14:paraId="472E13CD" w14:textId="33301DD4" w:rsidR="001872F7" w:rsidRPr="002A66EC" w:rsidRDefault="002A66EC" w:rsidP="00F330A4">
            <w:pPr>
              <w:pStyle w:val="BodyText"/>
              <w:spacing w:line="259" w:lineRule="auto"/>
              <w:ind w:left="-90"/>
              <w:jc w:val="both"/>
              <w:rPr>
                <w:rFonts w:ascii="Arial" w:hAnsi="Arial" w:cs="Arial"/>
              </w:rPr>
            </w:pPr>
            <w:r w:rsidRPr="00176408">
              <w:rPr>
                <w:rFonts w:ascii="Arial" w:hAnsi="Arial" w:cs="Arial"/>
              </w:rPr>
              <w:t>The DOE, ERC, IEMOP</w:t>
            </w:r>
            <w:r>
              <w:rPr>
                <w:rFonts w:ascii="Arial" w:hAnsi="Arial" w:cs="Arial"/>
              </w:rPr>
              <w:t>,</w:t>
            </w:r>
            <w:r w:rsidRPr="00176408">
              <w:rPr>
                <w:rFonts w:ascii="Arial" w:hAnsi="Arial" w:cs="Arial"/>
              </w:rPr>
              <w:t xml:space="preserve"> and PEMC shall establish a database required </w:t>
            </w:r>
            <w:r>
              <w:rPr>
                <w:rFonts w:ascii="Arial" w:hAnsi="Arial" w:cs="Arial"/>
              </w:rPr>
              <w:t>to implement</w:t>
            </w:r>
            <w:r w:rsidRPr="00176408">
              <w:rPr>
                <w:rFonts w:ascii="Arial" w:hAnsi="Arial" w:cs="Arial"/>
              </w:rPr>
              <w:t xml:space="preserve"> RCOA, Retail Aggregation</w:t>
            </w:r>
            <w:r>
              <w:rPr>
                <w:rFonts w:ascii="Arial" w:hAnsi="Arial" w:cs="Arial"/>
              </w:rPr>
              <w:t>,</w:t>
            </w:r>
            <w:r w:rsidRPr="00176408">
              <w:rPr>
                <w:rFonts w:ascii="Arial" w:hAnsi="Arial" w:cs="Arial"/>
              </w:rPr>
              <w:t xml:space="preserve"> and GEOP in Mindanao.</w:t>
            </w:r>
          </w:p>
        </w:tc>
        <w:tc>
          <w:tcPr>
            <w:tcW w:w="1441" w:type="pct"/>
          </w:tcPr>
          <w:p w14:paraId="2988C7C7" w14:textId="77777777" w:rsidR="001872F7" w:rsidRPr="00CE4175" w:rsidRDefault="001872F7" w:rsidP="00F330A4">
            <w:pPr>
              <w:pStyle w:val="ListParagraph"/>
              <w:ind w:left="216"/>
              <w:rPr>
                <w:rFonts w:ascii="Arial" w:hAnsi="Arial" w:cs="Arial"/>
                <w:sz w:val="22"/>
                <w:szCs w:val="22"/>
              </w:rPr>
            </w:pPr>
          </w:p>
        </w:tc>
        <w:tc>
          <w:tcPr>
            <w:tcW w:w="1442" w:type="pct"/>
          </w:tcPr>
          <w:p w14:paraId="7F64DE2D" w14:textId="77777777" w:rsidR="001872F7" w:rsidRPr="00CE4175" w:rsidRDefault="001872F7" w:rsidP="00F330A4">
            <w:pPr>
              <w:pStyle w:val="ListParagraph"/>
              <w:ind w:left="216"/>
              <w:rPr>
                <w:rFonts w:ascii="Arial" w:hAnsi="Arial" w:cs="Arial"/>
                <w:sz w:val="22"/>
                <w:szCs w:val="22"/>
              </w:rPr>
            </w:pPr>
          </w:p>
        </w:tc>
      </w:tr>
      <w:tr w:rsidR="001872F7" w:rsidRPr="00CE4175" w14:paraId="5279B0D0" w14:textId="77777777" w:rsidTr="00F330A4">
        <w:trPr>
          <w:trHeight w:val="98"/>
        </w:trPr>
        <w:tc>
          <w:tcPr>
            <w:tcW w:w="676" w:type="pct"/>
          </w:tcPr>
          <w:p w14:paraId="481E1FC4" w14:textId="73ECC3E2" w:rsidR="001872F7" w:rsidRPr="00CE4175" w:rsidRDefault="002A66EC" w:rsidP="00F330A4">
            <w:pPr>
              <w:rPr>
                <w:rFonts w:ascii="Arial" w:hAnsi="Arial" w:cs="Arial"/>
                <w:sz w:val="22"/>
                <w:szCs w:val="22"/>
              </w:rPr>
            </w:pPr>
            <w:r w:rsidRPr="00176408">
              <w:rPr>
                <w:rFonts w:ascii="Arial" w:hAnsi="Arial" w:cs="Arial"/>
                <w:b/>
                <w:bCs/>
              </w:rPr>
              <w:t>Section 8. Separability</w:t>
            </w:r>
          </w:p>
        </w:tc>
        <w:tc>
          <w:tcPr>
            <w:tcW w:w="1441" w:type="pct"/>
          </w:tcPr>
          <w:p w14:paraId="3D642CA6" w14:textId="15A922E2" w:rsidR="001872F7" w:rsidRPr="00CE4175" w:rsidRDefault="002A66EC" w:rsidP="00F330A4">
            <w:pPr>
              <w:pStyle w:val="Default"/>
              <w:ind w:left="-107"/>
              <w:jc w:val="both"/>
              <w:rPr>
                <w:rFonts w:ascii="Arial" w:hAnsi="Arial" w:cs="Arial"/>
                <w:color w:val="auto"/>
                <w:sz w:val="22"/>
                <w:szCs w:val="22"/>
              </w:rPr>
            </w:pPr>
            <w:r w:rsidRPr="00176408">
              <w:rPr>
                <w:rFonts w:ascii="Arial" w:hAnsi="Arial" w:cs="Arial"/>
              </w:rPr>
              <w:t>If any provision of this Circular is declared invalid or unconstitutional, the other provisions not affected shall remain valid and subsisting.</w:t>
            </w:r>
          </w:p>
        </w:tc>
        <w:tc>
          <w:tcPr>
            <w:tcW w:w="1441" w:type="pct"/>
          </w:tcPr>
          <w:p w14:paraId="0A1CC05D" w14:textId="77777777" w:rsidR="001872F7" w:rsidRPr="00CE4175" w:rsidRDefault="001872F7" w:rsidP="00F330A4">
            <w:pPr>
              <w:pStyle w:val="ListParagraph"/>
              <w:ind w:left="216"/>
              <w:rPr>
                <w:rFonts w:ascii="Arial" w:hAnsi="Arial" w:cs="Arial"/>
                <w:sz w:val="22"/>
                <w:szCs w:val="22"/>
              </w:rPr>
            </w:pPr>
          </w:p>
        </w:tc>
        <w:tc>
          <w:tcPr>
            <w:tcW w:w="1442" w:type="pct"/>
          </w:tcPr>
          <w:p w14:paraId="0C0C648A" w14:textId="77777777" w:rsidR="001872F7" w:rsidRPr="00CE4175" w:rsidRDefault="001872F7" w:rsidP="00F330A4">
            <w:pPr>
              <w:pStyle w:val="ListParagraph"/>
              <w:ind w:left="216"/>
              <w:rPr>
                <w:rFonts w:ascii="Arial" w:hAnsi="Arial" w:cs="Arial"/>
                <w:sz w:val="22"/>
                <w:szCs w:val="22"/>
              </w:rPr>
            </w:pPr>
          </w:p>
        </w:tc>
      </w:tr>
      <w:tr w:rsidR="001872F7" w:rsidRPr="00CE4175" w14:paraId="5D7C71C0" w14:textId="77777777" w:rsidTr="00F330A4">
        <w:trPr>
          <w:trHeight w:val="98"/>
        </w:trPr>
        <w:tc>
          <w:tcPr>
            <w:tcW w:w="676" w:type="pct"/>
          </w:tcPr>
          <w:p w14:paraId="05814579" w14:textId="345FE897" w:rsidR="001872F7" w:rsidRPr="00CE4175" w:rsidRDefault="002A66EC" w:rsidP="00F330A4">
            <w:pPr>
              <w:rPr>
                <w:rFonts w:ascii="Arial" w:hAnsi="Arial" w:cs="Arial"/>
                <w:sz w:val="22"/>
                <w:szCs w:val="22"/>
              </w:rPr>
            </w:pPr>
            <w:r w:rsidRPr="00176408">
              <w:rPr>
                <w:rFonts w:ascii="Arial" w:hAnsi="Arial" w:cs="Arial"/>
                <w:b/>
                <w:bCs/>
              </w:rPr>
              <w:t>Section 9. Repealing Clause</w:t>
            </w:r>
          </w:p>
        </w:tc>
        <w:tc>
          <w:tcPr>
            <w:tcW w:w="1441" w:type="pct"/>
          </w:tcPr>
          <w:p w14:paraId="48D1A5CE" w14:textId="67290213" w:rsidR="001872F7" w:rsidRPr="00CE4175" w:rsidRDefault="002A66EC" w:rsidP="00F330A4">
            <w:pPr>
              <w:pStyle w:val="Default"/>
              <w:ind w:left="-107"/>
              <w:jc w:val="both"/>
              <w:rPr>
                <w:rFonts w:ascii="Arial" w:hAnsi="Arial" w:cs="Arial"/>
                <w:color w:val="auto"/>
                <w:sz w:val="22"/>
                <w:szCs w:val="22"/>
              </w:rPr>
            </w:pPr>
            <w:r w:rsidRPr="00176408">
              <w:rPr>
                <w:rFonts w:ascii="Arial" w:hAnsi="Arial" w:cs="Arial"/>
              </w:rPr>
              <w:t>Except insofar as may be manifestly inconsistent herewith, nothing in this Circular shall be construed as to repeal any mechanisms already existing or responsibilities already provided for under existing rules.</w:t>
            </w:r>
          </w:p>
        </w:tc>
        <w:tc>
          <w:tcPr>
            <w:tcW w:w="1441" w:type="pct"/>
          </w:tcPr>
          <w:p w14:paraId="0C107EC3" w14:textId="77777777" w:rsidR="001872F7" w:rsidRPr="00CE4175" w:rsidRDefault="001872F7" w:rsidP="00F330A4">
            <w:pPr>
              <w:pStyle w:val="ListParagraph"/>
              <w:ind w:left="216"/>
              <w:rPr>
                <w:rFonts w:ascii="Arial" w:hAnsi="Arial" w:cs="Arial"/>
                <w:sz w:val="22"/>
                <w:szCs w:val="22"/>
              </w:rPr>
            </w:pPr>
          </w:p>
        </w:tc>
        <w:tc>
          <w:tcPr>
            <w:tcW w:w="1442" w:type="pct"/>
          </w:tcPr>
          <w:p w14:paraId="6FDBC75F" w14:textId="77777777" w:rsidR="001872F7" w:rsidRPr="00CE4175" w:rsidRDefault="001872F7" w:rsidP="00F330A4">
            <w:pPr>
              <w:pStyle w:val="ListParagraph"/>
              <w:ind w:left="216"/>
              <w:rPr>
                <w:rFonts w:ascii="Arial" w:hAnsi="Arial" w:cs="Arial"/>
                <w:sz w:val="22"/>
                <w:szCs w:val="22"/>
              </w:rPr>
            </w:pPr>
          </w:p>
        </w:tc>
      </w:tr>
      <w:tr w:rsidR="001872F7" w:rsidRPr="00CE4175" w14:paraId="1E1E6FD8" w14:textId="77777777" w:rsidTr="00F330A4">
        <w:trPr>
          <w:trHeight w:val="98"/>
        </w:trPr>
        <w:tc>
          <w:tcPr>
            <w:tcW w:w="676" w:type="pct"/>
          </w:tcPr>
          <w:p w14:paraId="4C7BF987" w14:textId="37E55247" w:rsidR="001872F7" w:rsidRPr="00CE4175" w:rsidRDefault="002A66EC" w:rsidP="00F330A4">
            <w:pPr>
              <w:rPr>
                <w:rFonts w:ascii="Arial" w:hAnsi="Arial" w:cs="Arial"/>
                <w:sz w:val="22"/>
                <w:szCs w:val="22"/>
              </w:rPr>
            </w:pPr>
            <w:r w:rsidRPr="00176408">
              <w:rPr>
                <w:rFonts w:ascii="Arial" w:hAnsi="Arial" w:cs="Arial"/>
                <w:b/>
                <w:bCs/>
              </w:rPr>
              <w:t>Section 10. Effectivity and Publication</w:t>
            </w:r>
          </w:p>
        </w:tc>
        <w:tc>
          <w:tcPr>
            <w:tcW w:w="1441" w:type="pct"/>
          </w:tcPr>
          <w:p w14:paraId="3B8A06F0" w14:textId="08807A23" w:rsidR="001872F7" w:rsidRPr="002A66EC" w:rsidRDefault="002A66EC" w:rsidP="00F330A4">
            <w:pPr>
              <w:pStyle w:val="BodyText"/>
              <w:tabs>
                <w:tab w:val="left" w:pos="8910"/>
              </w:tabs>
              <w:ind w:left="-90"/>
              <w:jc w:val="both"/>
              <w:rPr>
                <w:rFonts w:ascii="Arial" w:hAnsi="Arial" w:cs="Arial"/>
              </w:rPr>
            </w:pPr>
            <w:r w:rsidRPr="00176408">
              <w:rPr>
                <w:rFonts w:ascii="Arial" w:hAnsi="Arial" w:cs="Arial"/>
              </w:rPr>
              <w:t>This Circular shall take effect immediately upon its publication in two (2) newspapers of general circulation. Copies shall be filed with the University of the Philippines Law Center – Office of National Administrative Register (UPLC-ONAR).</w:t>
            </w:r>
          </w:p>
        </w:tc>
        <w:tc>
          <w:tcPr>
            <w:tcW w:w="1441" w:type="pct"/>
          </w:tcPr>
          <w:p w14:paraId="2FD8D2B1" w14:textId="77777777" w:rsidR="001872F7" w:rsidRPr="00CE4175" w:rsidRDefault="001872F7" w:rsidP="00F330A4">
            <w:pPr>
              <w:pStyle w:val="ListParagraph"/>
              <w:ind w:left="216"/>
              <w:rPr>
                <w:rFonts w:ascii="Arial" w:hAnsi="Arial" w:cs="Arial"/>
                <w:sz w:val="22"/>
                <w:szCs w:val="22"/>
              </w:rPr>
            </w:pPr>
          </w:p>
        </w:tc>
        <w:tc>
          <w:tcPr>
            <w:tcW w:w="1442" w:type="pct"/>
          </w:tcPr>
          <w:p w14:paraId="2C178A39" w14:textId="77777777" w:rsidR="001872F7" w:rsidRPr="00CE4175" w:rsidRDefault="001872F7" w:rsidP="00F330A4">
            <w:pPr>
              <w:pStyle w:val="ListParagraph"/>
              <w:ind w:left="216"/>
              <w:rPr>
                <w:rFonts w:ascii="Arial" w:hAnsi="Arial" w:cs="Arial"/>
                <w:sz w:val="22"/>
                <w:szCs w:val="22"/>
              </w:rPr>
            </w:pPr>
          </w:p>
        </w:tc>
      </w:tr>
    </w:tbl>
    <w:p w14:paraId="058BEE75" w14:textId="0793D32F" w:rsidR="007B16AD" w:rsidRDefault="00F330A4" w:rsidP="008A51F9">
      <w:pPr>
        <w:jc w:val="both"/>
        <w:rPr>
          <w:rFonts w:ascii="Arial" w:hAnsi="Arial" w:cs="Arial"/>
          <w:b/>
          <w:sz w:val="22"/>
          <w:szCs w:val="22"/>
        </w:rPr>
      </w:pPr>
      <w:r>
        <w:rPr>
          <w:rFonts w:ascii="Arial" w:hAnsi="Arial" w:cs="Arial"/>
          <w:b/>
          <w:sz w:val="22"/>
          <w:szCs w:val="22"/>
        </w:rPr>
        <w:lastRenderedPageBreak/>
        <w:br w:type="textWrapping" w:clear="all"/>
      </w:r>
    </w:p>
    <w:p w14:paraId="79703C61" w14:textId="536F3F47" w:rsidR="007B16AD" w:rsidRPr="007B16AD" w:rsidRDefault="007B16AD" w:rsidP="007B16AD">
      <w:pPr>
        <w:jc w:val="both"/>
        <w:rPr>
          <w:rFonts w:ascii="Arial" w:hAnsi="Arial" w:cs="Arial"/>
          <w:b/>
          <w:i/>
          <w:sz w:val="22"/>
          <w:szCs w:val="22"/>
          <w:lang w:val="en-PH"/>
        </w:rPr>
      </w:pPr>
      <w:r w:rsidRPr="007B16AD">
        <w:rPr>
          <w:rFonts w:ascii="Arial" w:hAnsi="Arial" w:cs="Arial"/>
          <w:b/>
          <w:i/>
          <w:sz w:val="22"/>
          <w:szCs w:val="22"/>
          <w:lang w:val="en-PH"/>
        </w:rPr>
        <w:t xml:space="preserve">Note: For convenience, please underline and put in bold letters the proposed changes to the </w:t>
      </w:r>
      <w:r w:rsidR="001872F7">
        <w:rPr>
          <w:rFonts w:ascii="Arial" w:hAnsi="Arial" w:cs="Arial"/>
          <w:b/>
          <w:i/>
          <w:sz w:val="22"/>
          <w:szCs w:val="22"/>
          <w:lang w:val="en-PH"/>
        </w:rPr>
        <w:t>proposal</w:t>
      </w:r>
      <w:r w:rsidRPr="007B16AD">
        <w:rPr>
          <w:rFonts w:ascii="Arial" w:hAnsi="Arial" w:cs="Arial"/>
          <w:b/>
          <w:i/>
          <w:sz w:val="22"/>
          <w:szCs w:val="22"/>
          <w:lang w:val="en-PH"/>
        </w:rPr>
        <w:t xml:space="preserve">. </w:t>
      </w:r>
    </w:p>
    <w:p w14:paraId="3E9F1EE0" w14:textId="77777777" w:rsidR="007B16AD" w:rsidRPr="00CE4175" w:rsidRDefault="007B16AD" w:rsidP="008A51F9">
      <w:pPr>
        <w:jc w:val="both"/>
        <w:rPr>
          <w:rFonts w:ascii="Arial" w:hAnsi="Arial" w:cs="Arial"/>
          <w:b/>
          <w:sz w:val="22"/>
          <w:szCs w:val="22"/>
        </w:rPr>
      </w:pPr>
    </w:p>
    <w:sectPr w:rsidR="007B16AD" w:rsidRPr="00CE4175" w:rsidSect="009949AB">
      <w:headerReference w:type="default" r:id="rId8"/>
      <w:pgSz w:w="16839" w:h="11907" w:orient="landscape" w:code="9"/>
      <w:pgMar w:top="135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D65A7" w14:textId="77777777" w:rsidR="00630B1A" w:rsidRDefault="00630B1A" w:rsidP="008A51F9">
      <w:r>
        <w:separator/>
      </w:r>
    </w:p>
  </w:endnote>
  <w:endnote w:type="continuationSeparator" w:id="0">
    <w:p w14:paraId="031CA5EE" w14:textId="77777777" w:rsidR="00630B1A" w:rsidRDefault="00630B1A" w:rsidP="008A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314B" w14:textId="77777777" w:rsidR="00630B1A" w:rsidRDefault="00630B1A" w:rsidP="008A51F9">
      <w:r>
        <w:separator/>
      </w:r>
    </w:p>
  </w:footnote>
  <w:footnote w:type="continuationSeparator" w:id="0">
    <w:p w14:paraId="4AF82CB1" w14:textId="77777777" w:rsidR="00630B1A" w:rsidRDefault="00630B1A" w:rsidP="008A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0D2EB" w14:textId="03EA2441" w:rsidR="00E65EA8" w:rsidRPr="001872F7" w:rsidRDefault="001872F7" w:rsidP="001872F7">
    <w:pPr>
      <w:pStyle w:val="Header"/>
      <w:rPr>
        <w:rFonts w:ascii="Arial" w:hAnsi="Arial" w:cs="Arial"/>
        <w:b/>
        <w:lang w:val="en-PH"/>
      </w:rPr>
    </w:pPr>
    <w:r>
      <w:rPr>
        <w:rFonts w:ascii="Arial" w:hAnsi="Arial" w:cs="Arial"/>
        <w:b/>
        <w:lang w:val="en-PH"/>
      </w:rPr>
      <w:t xml:space="preserve">Name of Stakeholder: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50A2"/>
    <w:multiLevelType w:val="hybridMultilevel"/>
    <w:tmpl w:val="31946CC2"/>
    <w:lvl w:ilvl="0" w:tplc="B7386B40">
      <w:start w:val="1"/>
      <w:numFmt w:val="lowerRoman"/>
      <w:lvlText w:val="%1."/>
      <w:lvlJc w:val="left"/>
      <w:pPr>
        <w:ind w:left="720" w:hanging="720"/>
      </w:pPr>
      <w:rPr>
        <w:rFonts w:ascii="Helvetica" w:eastAsia="Arial Unicode MS" w:hAnsi="Helvetica" w:cs="Helvetica" w:hint="default"/>
        <w:b/>
        <w:sz w:val="22"/>
        <w:szCs w:val="22"/>
        <w:u w:val="singl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274653A6"/>
    <w:multiLevelType w:val="hybridMultilevel"/>
    <w:tmpl w:val="8C46F4DA"/>
    <w:lvl w:ilvl="0" w:tplc="34090019">
      <w:start w:val="1"/>
      <w:numFmt w:val="lowerLetter"/>
      <w:lvlText w:val="%1."/>
      <w:lvlJc w:val="left"/>
      <w:pPr>
        <w:ind w:left="927"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27466D55"/>
    <w:multiLevelType w:val="hybridMultilevel"/>
    <w:tmpl w:val="26B8D0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3874762D"/>
    <w:multiLevelType w:val="hybridMultilevel"/>
    <w:tmpl w:val="E252141E"/>
    <w:lvl w:ilvl="0" w:tplc="0CAC901C">
      <w:start w:val="1"/>
      <w:numFmt w:val="upperLetter"/>
      <w:lvlText w:val="%1."/>
      <w:lvlJc w:val="left"/>
      <w:pPr>
        <w:ind w:left="540" w:hanging="360"/>
      </w:pPr>
      <w:rPr>
        <w:rFonts w:hint="default"/>
        <w:b/>
      </w:r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4">
    <w:nsid w:val="41AF291C"/>
    <w:multiLevelType w:val="hybridMultilevel"/>
    <w:tmpl w:val="8878CACA"/>
    <w:lvl w:ilvl="0" w:tplc="53C86FAC">
      <w:start w:val="8"/>
      <w:numFmt w:val="lowerLetter"/>
      <w:lvlText w:val="%1."/>
      <w:lvlJc w:val="left"/>
      <w:pPr>
        <w:ind w:left="720" w:hanging="360"/>
      </w:pPr>
      <w:rPr>
        <w:rFonts w:hint="default"/>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5FB32F59"/>
    <w:multiLevelType w:val="hybridMultilevel"/>
    <w:tmpl w:val="B018F6A8"/>
    <w:lvl w:ilvl="0" w:tplc="50620EC6">
      <w:start w:val="1"/>
      <w:numFmt w:val="lowerRoman"/>
      <w:lvlText w:val="%1."/>
      <w:lvlJc w:val="right"/>
      <w:pPr>
        <w:ind w:left="720" w:hanging="360"/>
      </w:pPr>
      <w:rPr>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63DD6682"/>
    <w:multiLevelType w:val="hybridMultilevel"/>
    <w:tmpl w:val="482292E4"/>
    <w:lvl w:ilvl="0" w:tplc="D0CCCE8C">
      <w:start w:val="1"/>
      <w:numFmt w:val="low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nsid w:val="6FCA7386"/>
    <w:multiLevelType w:val="hybridMultilevel"/>
    <w:tmpl w:val="88720A32"/>
    <w:lvl w:ilvl="0" w:tplc="5F1E89EC">
      <w:start w:val="5"/>
      <w:numFmt w:val="lowerLetter"/>
      <w:lvlText w:val="%1."/>
      <w:lvlJc w:val="left"/>
      <w:pPr>
        <w:ind w:left="720" w:hanging="360"/>
      </w:pPr>
      <w:rPr>
        <w:rFonts w:hint="default"/>
        <w:b w:val="0"/>
        <w:u w:val="no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722A76F9"/>
    <w:multiLevelType w:val="hybridMultilevel"/>
    <w:tmpl w:val="8C46F4D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F9"/>
    <w:rsid w:val="00036AB6"/>
    <w:rsid w:val="00103129"/>
    <w:rsid w:val="00130052"/>
    <w:rsid w:val="001872F7"/>
    <w:rsid w:val="001E35F3"/>
    <w:rsid w:val="002A66EC"/>
    <w:rsid w:val="003A35AE"/>
    <w:rsid w:val="003B308E"/>
    <w:rsid w:val="00464CD8"/>
    <w:rsid w:val="005026D1"/>
    <w:rsid w:val="005800BB"/>
    <w:rsid w:val="00630B1A"/>
    <w:rsid w:val="00640A40"/>
    <w:rsid w:val="00792778"/>
    <w:rsid w:val="007B16AD"/>
    <w:rsid w:val="008A51F9"/>
    <w:rsid w:val="009949AB"/>
    <w:rsid w:val="009C3373"/>
    <w:rsid w:val="00AF7129"/>
    <w:rsid w:val="00B670A2"/>
    <w:rsid w:val="00B77F7B"/>
    <w:rsid w:val="00C520FD"/>
    <w:rsid w:val="00C54773"/>
    <w:rsid w:val="00CE4175"/>
    <w:rsid w:val="00D0103C"/>
    <w:rsid w:val="00DC10D8"/>
    <w:rsid w:val="00DD341B"/>
    <w:rsid w:val="00E530C0"/>
    <w:rsid w:val="00E65EA8"/>
    <w:rsid w:val="00EA3E86"/>
    <w:rsid w:val="00F330A4"/>
    <w:rsid w:val="00F40A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BA650"/>
  <w15:chartTrackingRefBased/>
  <w15:docId w15:val="{45D859CB-462B-4FB6-B9A0-91B082C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F9"/>
    <w:pPr>
      <w:ind w:left="720"/>
      <w:contextualSpacing/>
    </w:pPr>
  </w:style>
  <w:style w:type="paragraph" w:customStyle="1" w:styleId="Default">
    <w:name w:val="Default"/>
    <w:rsid w:val="008A51F9"/>
    <w:pPr>
      <w:autoSpaceDE w:val="0"/>
      <w:autoSpaceDN w:val="0"/>
      <w:adjustRightInd w:val="0"/>
      <w:spacing w:after="0" w:line="240" w:lineRule="auto"/>
    </w:pPr>
    <w:rPr>
      <w:rFonts w:ascii="Helvetica" w:eastAsia="Times New Roman" w:hAnsi="Helvetica" w:cs="Helvetica"/>
      <w:color w:val="000000"/>
      <w:sz w:val="24"/>
      <w:szCs w:val="24"/>
      <w:lang w:eastAsia="en-PH"/>
    </w:rPr>
  </w:style>
  <w:style w:type="paragraph" w:styleId="Header">
    <w:name w:val="header"/>
    <w:basedOn w:val="Normal"/>
    <w:link w:val="HeaderChar"/>
    <w:uiPriority w:val="99"/>
    <w:unhideWhenUsed/>
    <w:rsid w:val="008A51F9"/>
    <w:pPr>
      <w:tabs>
        <w:tab w:val="center" w:pos="4680"/>
        <w:tab w:val="right" w:pos="9360"/>
      </w:tabs>
    </w:pPr>
  </w:style>
  <w:style w:type="character" w:customStyle="1" w:styleId="HeaderChar">
    <w:name w:val="Header Char"/>
    <w:basedOn w:val="DefaultParagraphFont"/>
    <w:link w:val="Header"/>
    <w:uiPriority w:val="99"/>
    <w:rsid w:val="008A51F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51F9"/>
    <w:pPr>
      <w:tabs>
        <w:tab w:val="center" w:pos="4680"/>
        <w:tab w:val="right" w:pos="9360"/>
      </w:tabs>
    </w:pPr>
  </w:style>
  <w:style w:type="character" w:customStyle="1" w:styleId="FooterChar">
    <w:name w:val="Footer Char"/>
    <w:basedOn w:val="DefaultParagraphFont"/>
    <w:link w:val="Footer"/>
    <w:uiPriority w:val="99"/>
    <w:rsid w:val="008A51F9"/>
    <w:rPr>
      <w:rFonts w:ascii="Times New Roman" w:eastAsia="Times New Roman" w:hAnsi="Times New Roman" w:cs="Times New Roman"/>
      <w:sz w:val="24"/>
      <w:szCs w:val="24"/>
      <w:lang w:val="en-US"/>
    </w:rPr>
  </w:style>
  <w:style w:type="table" w:styleId="TableGrid">
    <w:name w:val="Table Grid"/>
    <w:basedOn w:val="TableNormal"/>
    <w:uiPriority w:val="39"/>
    <w:rsid w:val="00EA3E86"/>
    <w:pPr>
      <w:spacing w:after="0" w:line="240" w:lineRule="auto"/>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3E86"/>
    <w:rPr>
      <w:sz w:val="16"/>
      <w:szCs w:val="16"/>
    </w:rPr>
  </w:style>
  <w:style w:type="paragraph" w:styleId="CommentText">
    <w:name w:val="annotation text"/>
    <w:basedOn w:val="Normal"/>
    <w:link w:val="CommentTextChar"/>
    <w:uiPriority w:val="99"/>
    <w:semiHidden/>
    <w:unhideWhenUsed/>
    <w:rsid w:val="00EA3E86"/>
    <w:pPr>
      <w:spacing w:after="160"/>
    </w:pPr>
    <w:rPr>
      <w:rFonts w:ascii="Verdana" w:eastAsiaTheme="minorHAnsi" w:hAnsi="Verdana" w:cstheme="minorBidi"/>
      <w:sz w:val="20"/>
      <w:szCs w:val="20"/>
      <w:lang w:val="en-PH"/>
    </w:rPr>
  </w:style>
  <w:style w:type="character" w:customStyle="1" w:styleId="CommentTextChar">
    <w:name w:val="Comment Text Char"/>
    <w:basedOn w:val="DefaultParagraphFont"/>
    <w:link w:val="CommentText"/>
    <w:uiPriority w:val="99"/>
    <w:semiHidden/>
    <w:rsid w:val="00EA3E86"/>
    <w:rPr>
      <w:rFonts w:ascii="Verdana" w:hAnsi="Verdana"/>
      <w:sz w:val="20"/>
      <w:szCs w:val="20"/>
    </w:rPr>
  </w:style>
  <w:style w:type="paragraph" w:styleId="BalloonText">
    <w:name w:val="Balloon Text"/>
    <w:basedOn w:val="Normal"/>
    <w:link w:val="BalloonTextChar"/>
    <w:uiPriority w:val="99"/>
    <w:semiHidden/>
    <w:unhideWhenUsed/>
    <w:rsid w:val="00EA3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86"/>
    <w:rPr>
      <w:rFonts w:ascii="Segoe UI" w:eastAsia="Times New Roman" w:hAnsi="Segoe UI" w:cs="Segoe UI"/>
      <w:sz w:val="18"/>
      <w:szCs w:val="18"/>
      <w:lang w:val="en-US"/>
    </w:rPr>
  </w:style>
  <w:style w:type="paragraph" w:styleId="BodyText">
    <w:name w:val="Body Text"/>
    <w:basedOn w:val="Normal"/>
    <w:link w:val="BodyTextChar"/>
    <w:uiPriority w:val="1"/>
    <w:qFormat/>
    <w:rsid w:val="002A66EC"/>
    <w:pPr>
      <w:widowControl w:val="0"/>
      <w:autoSpaceDE w:val="0"/>
      <w:autoSpaceDN w:val="0"/>
    </w:pPr>
    <w:rPr>
      <w:rFonts w:ascii="Arial MT" w:eastAsia="Arial MT" w:hAnsi="Arial MT" w:cs="Arial MT"/>
    </w:rPr>
  </w:style>
  <w:style w:type="character" w:customStyle="1" w:styleId="BodyTextChar">
    <w:name w:val="Body Text Char"/>
    <w:basedOn w:val="DefaultParagraphFont"/>
    <w:link w:val="BodyText"/>
    <w:uiPriority w:val="1"/>
    <w:rsid w:val="002A66EC"/>
    <w:rPr>
      <w:rFonts w:ascii="Arial MT" w:eastAsia="Arial MT" w:hAnsi="Arial MT" w:cs="Arial M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8E10-111F-4799-B79C-B00CD130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Amendments re Constraint Violation Coefficients and Pricing Re-Runs</vt:lpstr>
    </vt:vector>
  </TitlesOfParts>
  <Company>HP Inc.</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re Constraint Violation Coefficients and Pricing Re-Runs</dc:title>
  <dc:subject/>
  <dc:creator>DOE-PMDD</dc:creator>
  <cp:keywords/>
  <dc:description/>
  <cp:lastModifiedBy>Sherwin Brian S. Estanislao</cp:lastModifiedBy>
  <cp:revision>3</cp:revision>
  <dcterms:created xsi:type="dcterms:W3CDTF">2023-04-26T07:52:00Z</dcterms:created>
  <dcterms:modified xsi:type="dcterms:W3CDTF">2023-05-09T00:21:00Z</dcterms:modified>
</cp:coreProperties>
</file>