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9911" w14:textId="6E67C901" w:rsidR="00914EC6" w:rsidRDefault="00914EC6"/>
    <w:p w14:paraId="07CBB351" w14:textId="77777777" w:rsidR="00914EC6" w:rsidRPr="00914EC6" w:rsidRDefault="00914EC6" w:rsidP="00914EC6">
      <w:pPr>
        <w:jc w:val="center"/>
        <w:rPr>
          <w:b/>
          <w:bCs/>
        </w:rPr>
      </w:pPr>
    </w:p>
    <w:p w14:paraId="4BEA56E7" w14:textId="77777777" w:rsidR="002334DF" w:rsidRDefault="002334DF" w:rsidP="002334DF">
      <w:pPr>
        <w:contextualSpacing w:val="0"/>
        <w:jc w:val="center"/>
        <w:rPr>
          <w:b/>
          <w:bCs/>
        </w:rPr>
      </w:pPr>
    </w:p>
    <w:p w14:paraId="29536489" w14:textId="4D70E671" w:rsidR="00914EC6" w:rsidRPr="002334DF" w:rsidRDefault="00A95F99" w:rsidP="002334DF">
      <w:pPr>
        <w:contextualSpacing w:val="0"/>
        <w:jc w:val="center"/>
        <w:rPr>
          <w:szCs w:val="24"/>
        </w:rPr>
      </w:pPr>
      <w:r>
        <w:rPr>
          <w:b/>
          <w:bCs/>
        </w:rPr>
        <w:t>DRAFT DEPARTMENT CIRCULAR ENTITLED, “</w:t>
      </w:r>
      <w:r w:rsidR="00914EC6" w:rsidRPr="00914EC6">
        <w:rPr>
          <w:b/>
          <w:bCs/>
        </w:rPr>
        <w:t>IMPLEMENTING GUIDELINES FOR THE DECOMMISSIONING AND MOTHBALLING OF GENERATING PLANT OR UNIT PURSUANT TO SECTION 2.8 OF DOE DEPARTMENT CIRCULAR (DC) NO. DC2010-03-0003</w:t>
      </w:r>
      <w:r w:rsidR="002334DF">
        <w:rPr>
          <w:rStyle w:val="FootnoteReference"/>
          <w:b/>
          <w:bCs/>
        </w:rPr>
        <w:footnoteReference w:id="1"/>
      </w:r>
      <w:r>
        <w:rPr>
          <w:b/>
          <w:bCs/>
        </w:rPr>
        <w:t>”</w:t>
      </w:r>
    </w:p>
    <w:p w14:paraId="227F365D" w14:textId="77777777" w:rsidR="002334DF" w:rsidRPr="00914EC6" w:rsidRDefault="002334DF" w:rsidP="00A3194C">
      <w:pPr>
        <w:jc w:val="left"/>
        <w:rPr>
          <w:b/>
          <w:bCs/>
        </w:rPr>
      </w:pPr>
    </w:p>
    <w:tbl>
      <w:tblPr>
        <w:tblStyle w:val="TableGrid"/>
        <w:tblW w:w="17998" w:type="dxa"/>
        <w:tblLook w:val="04A0" w:firstRow="1" w:lastRow="0" w:firstColumn="1" w:lastColumn="0" w:noHBand="0" w:noVBand="1"/>
      </w:tblPr>
      <w:tblGrid>
        <w:gridCol w:w="7645"/>
        <w:gridCol w:w="5533"/>
        <w:gridCol w:w="4820"/>
      </w:tblGrid>
      <w:tr w:rsidR="00A3194C" w:rsidRPr="00B77D57" w14:paraId="0479AE40" w14:textId="77777777" w:rsidTr="002334DF">
        <w:trPr>
          <w:tblHeader/>
        </w:trPr>
        <w:tc>
          <w:tcPr>
            <w:tcW w:w="7645" w:type="dxa"/>
            <w:shd w:val="clear" w:color="auto" w:fill="2F5496" w:themeFill="accent1" w:themeFillShade="BF"/>
          </w:tcPr>
          <w:p w14:paraId="01461084" w14:textId="77777777" w:rsidR="00A3194C" w:rsidRPr="00B77D57" w:rsidRDefault="00A3194C" w:rsidP="002334DF">
            <w:pPr>
              <w:widowControl w:val="0"/>
              <w:pBdr>
                <w:top w:val="nil"/>
                <w:left w:val="nil"/>
                <w:bottom w:val="nil"/>
                <w:right w:val="nil"/>
                <w:between w:val="nil"/>
              </w:pBdr>
              <w:spacing w:line="276" w:lineRule="auto"/>
              <w:jc w:val="center"/>
              <w:rPr>
                <w:b/>
                <w:color w:val="FFFFFF" w:themeColor="background1"/>
              </w:rPr>
            </w:pPr>
            <w:r w:rsidRPr="00B77D57">
              <w:rPr>
                <w:b/>
                <w:color w:val="FFFFFF" w:themeColor="background1"/>
                <w:sz w:val="28"/>
                <w:szCs w:val="28"/>
              </w:rPr>
              <w:t>Provisions</w:t>
            </w:r>
          </w:p>
        </w:tc>
        <w:tc>
          <w:tcPr>
            <w:tcW w:w="5533" w:type="dxa"/>
            <w:shd w:val="clear" w:color="auto" w:fill="2F5496" w:themeFill="accent1" w:themeFillShade="BF"/>
          </w:tcPr>
          <w:p w14:paraId="77F44DE6" w14:textId="77777777" w:rsidR="00A3194C" w:rsidRPr="00B77D57" w:rsidRDefault="00A3194C" w:rsidP="002334DF">
            <w:pPr>
              <w:widowControl w:val="0"/>
              <w:pBdr>
                <w:top w:val="nil"/>
                <w:left w:val="nil"/>
                <w:bottom w:val="nil"/>
                <w:right w:val="nil"/>
                <w:between w:val="nil"/>
              </w:pBdr>
              <w:spacing w:line="276" w:lineRule="auto"/>
              <w:jc w:val="center"/>
              <w:rPr>
                <w:b/>
                <w:color w:val="FFFFFF" w:themeColor="background1"/>
                <w:sz w:val="28"/>
                <w:szCs w:val="28"/>
              </w:rPr>
            </w:pPr>
            <w:r w:rsidRPr="00B77D57">
              <w:rPr>
                <w:b/>
                <w:color w:val="FFFFFF" w:themeColor="background1"/>
                <w:sz w:val="28"/>
                <w:szCs w:val="28"/>
              </w:rPr>
              <w:t>Proposed Revisions</w:t>
            </w:r>
          </w:p>
        </w:tc>
        <w:tc>
          <w:tcPr>
            <w:tcW w:w="4820" w:type="dxa"/>
            <w:shd w:val="clear" w:color="auto" w:fill="2F5496" w:themeFill="accent1" w:themeFillShade="BF"/>
          </w:tcPr>
          <w:p w14:paraId="725D685D" w14:textId="77777777" w:rsidR="00A3194C" w:rsidRPr="00B77D57" w:rsidRDefault="00A3194C" w:rsidP="002334DF">
            <w:pPr>
              <w:widowControl w:val="0"/>
              <w:pBdr>
                <w:top w:val="nil"/>
                <w:left w:val="nil"/>
                <w:bottom w:val="nil"/>
                <w:right w:val="nil"/>
                <w:between w:val="nil"/>
              </w:pBdr>
              <w:spacing w:line="276" w:lineRule="auto"/>
              <w:jc w:val="center"/>
              <w:rPr>
                <w:b/>
                <w:color w:val="FFFFFF" w:themeColor="background1"/>
                <w:sz w:val="28"/>
                <w:szCs w:val="28"/>
              </w:rPr>
            </w:pPr>
            <w:r>
              <w:rPr>
                <w:b/>
                <w:color w:val="FFFFFF" w:themeColor="background1"/>
                <w:sz w:val="28"/>
                <w:szCs w:val="28"/>
              </w:rPr>
              <w:t>Comments</w:t>
            </w:r>
          </w:p>
        </w:tc>
      </w:tr>
      <w:tr w:rsidR="00A3194C" w:rsidRPr="00B77D57" w14:paraId="1C79418F" w14:textId="77777777" w:rsidTr="002334DF">
        <w:tc>
          <w:tcPr>
            <w:tcW w:w="7645" w:type="dxa"/>
          </w:tcPr>
          <w:p w14:paraId="4B1E8778" w14:textId="77777777" w:rsidR="00A3194C" w:rsidRPr="00B77D57" w:rsidRDefault="00A3194C" w:rsidP="002334DF">
            <w:r w:rsidRPr="00B77D57">
              <w:rPr>
                <w:b/>
                <w:bCs/>
              </w:rPr>
              <w:t>WHEREAS,</w:t>
            </w:r>
            <w:r w:rsidRPr="00B77D57">
              <w:t xml:space="preserve"> Section 2 of the Republic Act No. 9136, otherwise known as the Electric Power Industry Reform Act of 2001 (EPIRA), declares as the policy of the State to ensure the quality, reliability, security, and affordability of supply of electric power;</w:t>
            </w:r>
          </w:p>
        </w:tc>
        <w:tc>
          <w:tcPr>
            <w:tcW w:w="5533" w:type="dxa"/>
          </w:tcPr>
          <w:p w14:paraId="6D3FE59A" w14:textId="77777777" w:rsidR="00A3194C" w:rsidRPr="00B77D57" w:rsidRDefault="00A3194C" w:rsidP="002334DF"/>
        </w:tc>
        <w:tc>
          <w:tcPr>
            <w:tcW w:w="4820" w:type="dxa"/>
          </w:tcPr>
          <w:p w14:paraId="47582B13" w14:textId="77777777" w:rsidR="00A3194C" w:rsidRPr="00B77D57" w:rsidRDefault="00A3194C" w:rsidP="002334DF"/>
        </w:tc>
      </w:tr>
      <w:tr w:rsidR="00A3194C" w:rsidRPr="00B77D57" w14:paraId="7E50A4FB" w14:textId="77777777" w:rsidTr="002334DF">
        <w:tc>
          <w:tcPr>
            <w:tcW w:w="7645" w:type="dxa"/>
          </w:tcPr>
          <w:p w14:paraId="72D4D3A0" w14:textId="77777777" w:rsidR="00A3194C" w:rsidRPr="00B77D57" w:rsidRDefault="00A3194C" w:rsidP="002334DF">
            <w:r w:rsidRPr="00B77D57">
              <w:rPr>
                <w:b/>
                <w:bCs/>
              </w:rPr>
              <w:t>WHEREAS,</w:t>
            </w:r>
            <w:r w:rsidRPr="00B77D57">
              <w:t xml:space="preserve"> Section 37 of the EPIRA, further mandates the Department of Energy (DOE) to formulate policies for the planning and implementation of a comprehensive program for the efficient supply and economical use of energy consistent with the approved national economic plan and the policies of environmental protection and conservation and maintenance of ecological balance, and provide a mechanism for the integration, rationalization, and coordination of the various energy programs of the Government;</w:t>
            </w:r>
          </w:p>
        </w:tc>
        <w:tc>
          <w:tcPr>
            <w:tcW w:w="5533" w:type="dxa"/>
          </w:tcPr>
          <w:p w14:paraId="69C7A8AB" w14:textId="77777777" w:rsidR="00A3194C" w:rsidRPr="00B77D57" w:rsidRDefault="00A3194C" w:rsidP="002334DF"/>
        </w:tc>
        <w:tc>
          <w:tcPr>
            <w:tcW w:w="4820" w:type="dxa"/>
          </w:tcPr>
          <w:p w14:paraId="2B9E9897" w14:textId="77777777" w:rsidR="00A3194C" w:rsidRPr="00B77D57" w:rsidRDefault="00A3194C" w:rsidP="002334DF"/>
        </w:tc>
      </w:tr>
      <w:tr w:rsidR="00A3194C" w:rsidRPr="00B77D57" w14:paraId="48AB2541" w14:textId="77777777" w:rsidTr="002334DF">
        <w:tc>
          <w:tcPr>
            <w:tcW w:w="7645" w:type="dxa"/>
          </w:tcPr>
          <w:p w14:paraId="76D62000" w14:textId="77777777" w:rsidR="00A3194C" w:rsidRPr="00B77D57" w:rsidRDefault="00A3194C" w:rsidP="002334DF">
            <w:proofErr w:type="gramStart"/>
            <w:r w:rsidRPr="00B77D57">
              <w:rPr>
                <w:b/>
                <w:bCs/>
              </w:rPr>
              <w:t>WHEREAS,</w:t>
            </w:r>
            <w:proofErr w:type="gramEnd"/>
            <w:r w:rsidRPr="00B77D57">
              <w:rPr>
                <w:b/>
                <w:bCs/>
              </w:rPr>
              <w:t xml:space="preserve"> </w:t>
            </w:r>
            <w:r w:rsidRPr="00B77D57">
              <w:t xml:space="preserve">Section 2.8 of the DOE DC No. DC2010-03-0003 issued on </w:t>
            </w:r>
            <w:r w:rsidRPr="00B77D57">
              <w:rPr>
                <w:color w:val="000000" w:themeColor="text1"/>
              </w:rPr>
              <w:t>26 February 201</w:t>
            </w:r>
            <w:r w:rsidRPr="00B77D57">
              <w:t>0, states that the Generation Companies (</w:t>
            </w:r>
            <w:proofErr w:type="spellStart"/>
            <w:r w:rsidRPr="00B77D57">
              <w:t>GenCos</w:t>
            </w:r>
            <w:proofErr w:type="spellEnd"/>
            <w:r w:rsidRPr="00B77D57">
              <w:t>) shall seek prior clearance from the DOE regarding any plans for deactivation or mothballing of existing generating units or facilities critical to the reliable operation of the Grid;</w:t>
            </w:r>
          </w:p>
        </w:tc>
        <w:tc>
          <w:tcPr>
            <w:tcW w:w="5533" w:type="dxa"/>
          </w:tcPr>
          <w:p w14:paraId="0F9692B8" w14:textId="77777777" w:rsidR="00A3194C" w:rsidRPr="00B77D57" w:rsidRDefault="00A3194C" w:rsidP="002334DF"/>
        </w:tc>
        <w:tc>
          <w:tcPr>
            <w:tcW w:w="4820" w:type="dxa"/>
          </w:tcPr>
          <w:p w14:paraId="1E8753EB" w14:textId="77777777" w:rsidR="00A3194C" w:rsidRPr="00B77D57" w:rsidRDefault="00A3194C" w:rsidP="002334DF"/>
        </w:tc>
      </w:tr>
      <w:tr w:rsidR="00A3194C" w:rsidRPr="00B77D57" w14:paraId="7C86146D" w14:textId="77777777" w:rsidTr="002334DF">
        <w:tc>
          <w:tcPr>
            <w:tcW w:w="7645" w:type="dxa"/>
          </w:tcPr>
          <w:p w14:paraId="68C10202" w14:textId="77777777" w:rsidR="00A3194C" w:rsidRPr="00B77D57" w:rsidRDefault="00A3194C" w:rsidP="002334DF">
            <w:pPr>
              <w:rPr>
                <w:bCs/>
              </w:rPr>
            </w:pPr>
            <w:proofErr w:type="gramStart"/>
            <w:r w:rsidRPr="00B77D57">
              <w:rPr>
                <w:b/>
              </w:rPr>
              <w:t>WHEREAS,</w:t>
            </w:r>
            <w:proofErr w:type="gramEnd"/>
            <w:r w:rsidRPr="00B77D57">
              <w:rPr>
                <w:b/>
              </w:rPr>
              <w:t xml:space="preserve"> </w:t>
            </w:r>
            <w:r w:rsidRPr="00B77D57">
              <w:rPr>
                <w:bCs/>
              </w:rPr>
              <w:t>Section 3.1 of the DOE DC No. DC2020-02-0004</w:t>
            </w:r>
            <w:r w:rsidRPr="00B77D57">
              <w:rPr>
                <w:rStyle w:val="FootnoteReference"/>
                <w:bCs/>
              </w:rPr>
              <w:footnoteReference w:id="2"/>
            </w:r>
            <w:r w:rsidRPr="00B77D57">
              <w:rPr>
                <w:bCs/>
              </w:rPr>
              <w:t xml:space="preserve"> issued on 08 February 2020, prescribes guidelines for </w:t>
            </w:r>
            <w:proofErr w:type="spellStart"/>
            <w:r w:rsidRPr="00B77D57">
              <w:rPr>
                <w:bCs/>
              </w:rPr>
              <w:t>GenCos</w:t>
            </w:r>
            <w:proofErr w:type="spellEnd"/>
            <w:r w:rsidRPr="00B77D57">
              <w:rPr>
                <w:bCs/>
              </w:rPr>
              <w:t xml:space="preserve"> submission of three-year planned outage schedules to the National Grid Corporation of the Philippines (NGCP) for the Grid Operating Program (GOP) in accordance with the Philippine Grid Code (PGC);</w:t>
            </w:r>
          </w:p>
        </w:tc>
        <w:tc>
          <w:tcPr>
            <w:tcW w:w="5533" w:type="dxa"/>
          </w:tcPr>
          <w:p w14:paraId="4F76E6EF" w14:textId="77777777" w:rsidR="00A3194C" w:rsidRPr="00B77D57" w:rsidRDefault="00A3194C" w:rsidP="002334DF"/>
        </w:tc>
        <w:tc>
          <w:tcPr>
            <w:tcW w:w="4820" w:type="dxa"/>
          </w:tcPr>
          <w:p w14:paraId="1F86415B" w14:textId="77777777" w:rsidR="00A3194C" w:rsidRPr="00B77D57" w:rsidRDefault="00A3194C" w:rsidP="002334DF"/>
        </w:tc>
      </w:tr>
      <w:tr w:rsidR="00A3194C" w:rsidRPr="00B77D57" w14:paraId="0863FD6E" w14:textId="77777777" w:rsidTr="002334DF">
        <w:tc>
          <w:tcPr>
            <w:tcW w:w="7645" w:type="dxa"/>
          </w:tcPr>
          <w:p w14:paraId="3ECA87AB" w14:textId="77777777" w:rsidR="00A3194C" w:rsidRPr="00B77D57" w:rsidRDefault="00A3194C" w:rsidP="002334DF">
            <w:r w:rsidRPr="00B77D57">
              <w:rPr>
                <w:b/>
                <w:bCs/>
              </w:rPr>
              <w:lastRenderedPageBreak/>
              <w:t>WHEREAS,</w:t>
            </w:r>
            <w:r w:rsidRPr="00B77D57">
              <w:t xml:space="preserve"> Republic Act (RA) No. 9513, otherwise known as the Renewable Energy Act of 2008, aims to promote the development, utilization, and commercialization of renewable energy (RE) resources;</w:t>
            </w:r>
          </w:p>
        </w:tc>
        <w:tc>
          <w:tcPr>
            <w:tcW w:w="5533" w:type="dxa"/>
          </w:tcPr>
          <w:p w14:paraId="7AC37E83" w14:textId="77777777" w:rsidR="00A3194C" w:rsidRPr="00B77D57" w:rsidRDefault="00A3194C" w:rsidP="002334DF"/>
        </w:tc>
        <w:tc>
          <w:tcPr>
            <w:tcW w:w="4820" w:type="dxa"/>
          </w:tcPr>
          <w:p w14:paraId="38D96E29" w14:textId="77777777" w:rsidR="00A3194C" w:rsidRPr="00B77D57" w:rsidRDefault="00A3194C" w:rsidP="002334DF"/>
        </w:tc>
      </w:tr>
      <w:tr w:rsidR="00A3194C" w:rsidRPr="00B77D57" w14:paraId="47CB36EE" w14:textId="77777777" w:rsidTr="002334DF">
        <w:tc>
          <w:tcPr>
            <w:tcW w:w="7645" w:type="dxa"/>
          </w:tcPr>
          <w:p w14:paraId="7EFE12F7" w14:textId="77777777" w:rsidR="00A3194C" w:rsidRPr="00B77D57" w:rsidRDefault="00A3194C" w:rsidP="002334DF">
            <w:proofErr w:type="gramStart"/>
            <w:r w:rsidRPr="00B77D57">
              <w:rPr>
                <w:b/>
                <w:bCs/>
              </w:rPr>
              <w:t>WHEREAS,</w:t>
            </w:r>
            <w:proofErr w:type="gramEnd"/>
            <w:r w:rsidRPr="00B77D57">
              <w:rPr>
                <w:b/>
                <w:bCs/>
              </w:rPr>
              <w:t xml:space="preserve"> </w:t>
            </w:r>
            <w:r w:rsidRPr="00B77D57">
              <w:t>Section 6 (h) of RA No. 11285, otherwise known as “Energy Efficiency and Conservation Act” (EE&amp;C Act),</w:t>
            </w:r>
            <w:r w:rsidRPr="00B77D57">
              <w:rPr>
                <w:b/>
                <w:bCs/>
              </w:rPr>
              <w:t xml:space="preserve"> </w:t>
            </w:r>
            <w:r w:rsidRPr="00B77D57">
              <w:t>provides that</w:t>
            </w:r>
            <w:r w:rsidRPr="00B77D57">
              <w:rPr>
                <w:b/>
                <w:bCs/>
              </w:rPr>
              <w:t xml:space="preserve"> </w:t>
            </w:r>
            <w:r w:rsidRPr="00B77D57">
              <w:t>the DOE shall assist the power plant owners in complying with the guidelines for the accurate characterization of wastes arising from energy-consuming devices, equipment, fixtures, and other relevant items, including the end-of-life vehicles and its component parts;</w:t>
            </w:r>
          </w:p>
        </w:tc>
        <w:tc>
          <w:tcPr>
            <w:tcW w:w="5533" w:type="dxa"/>
          </w:tcPr>
          <w:p w14:paraId="742A7BCC" w14:textId="77777777" w:rsidR="00A3194C" w:rsidRPr="00B77D57" w:rsidRDefault="00A3194C" w:rsidP="002334DF"/>
        </w:tc>
        <w:tc>
          <w:tcPr>
            <w:tcW w:w="4820" w:type="dxa"/>
          </w:tcPr>
          <w:p w14:paraId="1CDC3ADF" w14:textId="77777777" w:rsidR="00A3194C" w:rsidRPr="00B77D57" w:rsidRDefault="00A3194C" w:rsidP="002334DF"/>
        </w:tc>
      </w:tr>
      <w:tr w:rsidR="00A3194C" w:rsidRPr="00B77D57" w14:paraId="3DE1897C" w14:textId="77777777" w:rsidTr="002334DF">
        <w:tc>
          <w:tcPr>
            <w:tcW w:w="7645" w:type="dxa"/>
          </w:tcPr>
          <w:p w14:paraId="5A0731F5" w14:textId="77777777" w:rsidR="00A3194C" w:rsidRPr="00B77D57" w:rsidRDefault="00A3194C" w:rsidP="002334DF">
            <w:proofErr w:type="gramStart"/>
            <w:r w:rsidRPr="00B77D57">
              <w:rPr>
                <w:b/>
                <w:bCs/>
              </w:rPr>
              <w:t>WHEREAS,</w:t>
            </w:r>
            <w:proofErr w:type="gramEnd"/>
            <w:r w:rsidRPr="00B77D57">
              <w:rPr>
                <w:b/>
                <w:bCs/>
              </w:rPr>
              <w:t xml:space="preserve"> </w:t>
            </w:r>
            <w:r w:rsidRPr="00B77D57">
              <w:t xml:space="preserve">the </w:t>
            </w:r>
            <w:proofErr w:type="spellStart"/>
            <w:r w:rsidRPr="00B77D57">
              <w:t>GenCos</w:t>
            </w:r>
            <w:proofErr w:type="spellEnd"/>
            <w:r w:rsidRPr="00B77D57">
              <w:t xml:space="preserve">, as part of their responsibilities on the application for decommissioning or mothballing of its generating plant or unit, shall abide by the mandates </w:t>
            </w:r>
            <w:r w:rsidRPr="00B77D57">
              <w:rPr>
                <w:bCs/>
              </w:rPr>
              <w:t xml:space="preserve">of </w:t>
            </w:r>
            <w:r w:rsidRPr="00B77D57">
              <w:t>RA No. 6969</w:t>
            </w:r>
            <w:r w:rsidRPr="00B77D57">
              <w:rPr>
                <w:rStyle w:val="FootnoteReference"/>
              </w:rPr>
              <w:footnoteReference w:id="3"/>
            </w:r>
            <w:r w:rsidRPr="00B77D57">
              <w:t>, RA No. 8749</w:t>
            </w:r>
            <w:r w:rsidRPr="00B77D57">
              <w:rPr>
                <w:rStyle w:val="FootnoteReference"/>
              </w:rPr>
              <w:footnoteReference w:id="4"/>
            </w:r>
            <w:r w:rsidRPr="00B77D57">
              <w:t>, RA No. 9003</w:t>
            </w:r>
            <w:r w:rsidRPr="00B77D57">
              <w:rPr>
                <w:rStyle w:val="FootnoteReference"/>
              </w:rPr>
              <w:footnoteReference w:id="5"/>
            </w:r>
            <w:r w:rsidRPr="00B77D57">
              <w:t>, and RA No. 9275</w:t>
            </w:r>
            <w:r w:rsidRPr="00B77D57">
              <w:rPr>
                <w:rStyle w:val="FootnoteReference"/>
              </w:rPr>
              <w:footnoteReference w:id="6"/>
            </w:r>
            <w:r w:rsidRPr="00B77D57">
              <w:t>;</w:t>
            </w:r>
          </w:p>
        </w:tc>
        <w:tc>
          <w:tcPr>
            <w:tcW w:w="5533" w:type="dxa"/>
          </w:tcPr>
          <w:p w14:paraId="61147A9D" w14:textId="77777777" w:rsidR="00A3194C" w:rsidRPr="00B77D57" w:rsidRDefault="00A3194C" w:rsidP="002334DF"/>
        </w:tc>
        <w:tc>
          <w:tcPr>
            <w:tcW w:w="4820" w:type="dxa"/>
          </w:tcPr>
          <w:p w14:paraId="69B0C77A" w14:textId="77777777" w:rsidR="00A3194C" w:rsidRPr="00B77D57" w:rsidRDefault="00A3194C" w:rsidP="002334DF"/>
        </w:tc>
      </w:tr>
      <w:tr w:rsidR="00A3194C" w:rsidRPr="00B77D57" w14:paraId="3367EDCD" w14:textId="77777777" w:rsidTr="002334DF">
        <w:tc>
          <w:tcPr>
            <w:tcW w:w="7645" w:type="dxa"/>
          </w:tcPr>
          <w:p w14:paraId="10641EAF" w14:textId="77777777" w:rsidR="00A3194C" w:rsidRPr="00B77D57" w:rsidRDefault="00A3194C" w:rsidP="002334DF">
            <w:pPr>
              <w:rPr>
                <w:b/>
                <w:bCs/>
              </w:rPr>
            </w:pPr>
            <w:r w:rsidRPr="00B77D57">
              <w:rPr>
                <w:b/>
                <w:bCs/>
              </w:rPr>
              <w:t xml:space="preserve">WHEREAS, </w:t>
            </w:r>
            <w:r w:rsidRPr="00B77D57">
              <w:t>the owner of the Waste-to-Energy (</w:t>
            </w:r>
            <w:proofErr w:type="spellStart"/>
            <w:r w:rsidRPr="00B77D57">
              <w:t>WtE</w:t>
            </w:r>
            <w:proofErr w:type="spellEnd"/>
            <w:r w:rsidRPr="00B77D57">
              <w:t>) facilities shall abide by the mandates of the Department of Environment and Natural Resources (DENR) Administrative Order No. DAO-2019-21, entitled “Guidelines Governing for the Integrated Management of Municipal Solid Wastes”;</w:t>
            </w:r>
          </w:p>
        </w:tc>
        <w:tc>
          <w:tcPr>
            <w:tcW w:w="5533" w:type="dxa"/>
          </w:tcPr>
          <w:p w14:paraId="6BF9E1BC" w14:textId="77777777" w:rsidR="00A3194C" w:rsidRPr="00B77D57" w:rsidRDefault="00A3194C" w:rsidP="002334DF"/>
        </w:tc>
        <w:tc>
          <w:tcPr>
            <w:tcW w:w="4820" w:type="dxa"/>
          </w:tcPr>
          <w:p w14:paraId="6C55D20B" w14:textId="77777777" w:rsidR="00A3194C" w:rsidRPr="00B77D57" w:rsidRDefault="00A3194C" w:rsidP="002334DF"/>
        </w:tc>
      </w:tr>
      <w:tr w:rsidR="00A3194C" w:rsidRPr="00B77D57" w14:paraId="00E551BC" w14:textId="77777777" w:rsidTr="002334DF">
        <w:tc>
          <w:tcPr>
            <w:tcW w:w="7645" w:type="dxa"/>
          </w:tcPr>
          <w:p w14:paraId="351AAA6A" w14:textId="77777777" w:rsidR="00A3194C" w:rsidRPr="00B77D57" w:rsidRDefault="00A3194C" w:rsidP="002334DF">
            <w:pPr>
              <w:rPr>
                <w:b/>
                <w:bCs/>
              </w:rPr>
            </w:pPr>
            <w:proofErr w:type="gramStart"/>
            <w:r w:rsidRPr="00B77D57">
              <w:rPr>
                <w:b/>
              </w:rPr>
              <w:t>WHEREAS,</w:t>
            </w:r>
            <w:proofErr w:type="gramEnd"/>
            <w:r w:rsidRPr="00B77D57">
              <w:rPr>
                <w:b/>
              </w:rPr>
              <w:t xml:space="preserve"> </w:t>
            </w:r>
            <w:r w:rsidRPr="00B77D57">
              <w:rPr>
                <w:bCs/>
              </w:rPr>
              <w:t xml:space="preserve">RA No. 11234, otherwise known as the EVOSS Act, </w:t>
            </w:r>
            <w:r w:rsidRPr="00B77D57">
              <w:t>aims to further streamline and simplify the permitting process for the electric power industry participants and prospective investors</w:t>
            </w:r>
            <w:r w:rsidRPr="00B77D57">
              <w:rPr>
                <w:bCs/>
              </w:rPr>
              <w:t>;</w:t>
            </w:r>
          </w:p>
        </w:tc>
        <w:tc>
          <w:tcPr>
            <w:tcW w:w="5533" w:type="dxa"/>
          </w:tcPr>
          <w:p w14:paraId="5B086F49" w14:textId="77777777" w:rsidR="00A3194C" w:rsidRPr="00B77D57" w:rsidRDefault="00A3194C" w:rsidP="002334DF"/>
        </w:tc>
        <w:tc>
          <w:tcPr>
            <w:tcW w:w="4820" w:type="dxa"/>
          </w:tcPr>
          <w:p w14:paraId="6DA227FF" w14:textId="77777777" w:rsidR="00A3194C" w:rsidRPr="00B77D57" w:rsidRDefault="00A3194C" w:rsidP="002334DF"/>
        </w:tc>
      </w:tr>
      <w:tr w:rsidR="00A3194C" w:rsidRPr="00B77D57" w14:paraId="64FC7C0C" w14:textId="77777777" w:rsidTr="002334DF">
        <w:tc>
          <w:tcPr>
            <w:tcW w:w="7645" w:type="dxa"/>
          </w:tcPr>
          <w:p w14:paraId="787D4294" w14:textId="77777777" w:rsidR="00A3194C" w:rsidRPr="00B77D57" w:rsidRDefault="00A3194C" w:rsidP="002334DF">
            <w:pPr>
              <w:rPr>
                <w:b/>
              </w:rPr>
            </w:pPr>
            <w:proofErr w:type="gramStart"/>
            <w:r w:rsidRPr="00B77D57">
              <w:rPr>
                <w:b/>
              </w:rPr>
              <w:t>WHEREAS,</w:t>
            </w:r>
            <w:proofErr w:type="gramEnd"/>
            <w:r w:rsidRPr="00B77D57">
              <w:rPr>
                <w:b/>
              </w:rPr>
              <w:t xml:space="preserve"> </w:t>
            </w:r>
            <w:r w:rsidRPr="00B77D57">
              <w:rPr>
                <w:bCs/>
              </w:rPr>
              <w:t>DOE DC No. 2017-03-0002</w:t>
            </w:r>
            <w:r w:rsidRPr="00B77D57">
              <w:rPr>
                <w:rStyle w:val="FootnoteReference"/>
                <w:bCs/>
              </w:rPr>
              <w:footnoteReference w:id="7"/>
            </w:r>
            <w:r w:rsidRPr="00B77D57">
              <w:rPr>
                <w:bCs/>
              </w:rPr>
              <w:t xml:space="preserve"> issued on 20 March 2017, promulgated the amendments for the implementation of must dispatch and priority dispatch generating units in the WESM, which prescribes criteria, guidelines, and procedures for the registration, suspension, and de-registration of members and participants in the WESM;</w:t>
            </w:r>
          </w:p>
        </w:tc>
        <w:tc>
          <w:tcPr>
            <w:tcW w:w="5533" w:type="dxa"/>
          </w:tcPr>
          <w:p w14:paraId="78702B30" w14:textId="77777777" w:rsidR="00A3194C" w:rsidRPr="00B77D57" w:rsidRDefault="00A3194C" w:rsidP="002334DF"/>
        </w:tc>
        <w:tc>
          <w:tcPr>
            <w:tcW w:w="4820" w:type="dxa"/>
          </w:tcPr>
          <w:p w14:paraId="0235CCBF" w14:textId="77777777" w:rsidR="00A3194C" w:rsidRPr="00B77D57" w:rsidRDefault="00A3194C" w:rsidP="002334DF"/>
        </w:tc>
      </w:tr>
      <w:tr w:rsidR="00A3194C" w:rsidRPr="00B77D57" w14:paraId="4084A891" w14:textId="77777777" w:rsidTr="002334DF">
        <w:tc>
          <w:tcPr>
            <w:tcW w:w="7645" w:type="dxa"/>
          </w:tcPr>
          <w:p w14:paraId="452FCF33" w14:textId="77777777" w:rsidR="00A3194C" w:rsidRPr="00B77D57" w:rsidRDefault="00A3194C" w:rsidP="002334DF">
            <w:r w:rsidRPr="00B77D57">
              <w:rPr>
                <w:b/>
                <w:bCs/>
              </w:rPr>
              <w:t xml:space="preserve">WHEREAS, </w:t>
            </w:r>
            <w:r w:rsidRPr="00B77D57">
              <w:t>the DOE, to ensure transparency and consistency with the objectives of the EPIRA, conducted public consultations on the following dates:</w:t>
            </w:r>
          </w:p>
          <w:p w14:paraId="562CA527" w14:textId="77777777" w:rsidR="00A3194C" w:rsidRPr="00B77D57" w:rsidRDefault="00A3194C" w:rsidP="002334DF"/>
          <w:tbl>
            <w:tblPr>
              <w:tblStyle w:val="TableGrid"/>
              <w:tblW w:w="0" w:type="auto"/>
              <w:tblLook w:val="04A0" w:firstRow="1" w:lastRow="0" w:firstColumn="1" w:lastColumn="0" w:noHBand="0" w:noVBand="1"/>
            </w:tblPr>
            <w:tblGrid>
              <w:gridCol w:w="2554"/>
              <w:gridCol w:w="4097"/>
            </w:tblGrid>
            <w:tr w:rsidR="00A3194C" w:rsidRPr="00B77D57" w14:paraId="6E811162" w14:textId="77777777" w:rsidTr="00407917">
              <w:trPr>
                <w:trHeight w:val="242"/>
              </w:trPr>
              <w:tc>
                <w:tcPr>
                  <w:tcW w:w="2554" w:type="dxa"/>
                </w:tcPr>
                <w:p w14:paraId="09C8A9E7" w14:textId="77777777" w:rsidR="00A3194C" w:rsidRPr="00B77D57" w:rsidRDefault="00A3194C" w:rsidP="002334DF">
                  <w:pPr>
                    <w:jc w:val="center"/>
                    <w:rPr>
                      <w:b/>
                      <w:bCs/>
                    </w:rPr>
                  </w:pPr>
                  <w:r w:rsidRPr="00B77D57">
                    <w:rPr>
                      <w:b/>
                      <w:bCs/>
                    </w:rPr>
                    <w:t>Date</w:t>
                  </w:r>
                </w:p>
              </w:tc>
              <w:tc>
                <w:tcPr>
                  <w:tcW w:w="4097" w:type="dxa"/>
                </w:tcPr>
                <w:p w14:paraId="722AC97F" w14:textId="77777777" w:rsidR="00A3194C" w:rsidRPr="00B77D57" w:rsidRDefault="00A3194C" w:rsidP="002334DF">
                  <w:pPr>
                    <w:jc w:val="center"/>
                    <w:rPr>
                      <w:b/>
                      <w:bCs/>
                    </w:rPr>
                  </w:pPr>
                  <w:r w:rsidRPr="00B77D57">
                    <w:rPr>
                      <w:b/>
                      <w:bCs/>
                    </w:rPr>
                    <w:t>Venue</w:t>
                  </w:r>
                </w:p>
              </w:tc>
            </w:tr>
            <w:tr w:rsidR="00A3194C" w:rsidRPr="00B77D57" w14:paraId="0435AB04" w14:textId="77777777" w:rsidTr="00407917">
              <w:trPr>
                <w:trHeight w:val="486"/>
              </w:trPr>
              <w:tc>
                <w:tcPr>
                  <w:tcW w:w="2554" w:type="dxa"/>
                </w:tcPr>
                <w:p w14:paraId="6884CD5E" w14:textId="77777777" w:rsidR="00A3194C" w:rsidRPr="00B77D57" w:rsidRDefault="00A3194C" w:rsidP="002334DF">
                  <w:r w:rsidRPr="00B77D57">
                    <w:t>22 November 2022</w:t>
                  </w:r>
                </w:p>
              </w:tc>
              <w:tc>
                <w:tcPr>
                  <w:tcW w:w="4097" w:type="dxa"/>
                </w:tcPr>
                <w:p w14:paraId="49C77739" w14:textId="77777777" w:rsidR="00A3194C" w:rsidRPr="00B77D57" w:rsidRDefault="00A3194C" w:rsidP="002334DF">
                  <w:r w:rsidRPr="00B77D57">
                    <w:t>bai Hotel Cebu, Mandaue City, Cebu</w:t>
                  </w:r>
                </w:p>
              </w:tc>
            </w:tr>
            <w:tr w:rsidR="00A3194C" w:rsidRPr="00B77D57" w14:paraId="58DEA85B" w14:textId="77777777" w:rsidTr="00407917">
              <w:trPr>
                <w:trHeight w:val="486"/>
              </w:trPr>
              <w:tc>
                <w:tcPr>
                  <w:tcW w:w="2554" w:type="dxa"/>
                </w:tcPr>
                <w:p w14:paraId="19EE5BBF" w14:textId="77777777" w:rsidR="00A3194C" w:rsidRPr="00B77D57" w:rsidRDefault="00A3194C" w:rsidP="002334DF">
                  <w:r w:rsidRPr="00B77D57">
                    <w:t>24 November 2022</w:t>
                  </w:r>
                </w:p>
              </w:tc>
              <w:tc>
                <w:tcPr>
                  <w:tcW w:w="4097" w:type="dxa"/>
                </w:tcPr>
                <w:p w14:paraId="68427711" w14:textId="77777777" w:rsidR="00A3194C" w:rsidRPr="00B77D57" w:rsidRDefault="00A3194C" w:rsidP="002334DF">
                  <w:r w:rsidRPr="00B77D57">
                    <w:t>Apo View Hotel, Davao City</w:t>
                  </w:r>
                </w:p>
              </w:tc>
            </w:tr>
            <w:tr w:rsidR="00A3194C" w:rsidRPr="00B77D57" w14:paraId="29D434A0" w14:textId="77777777" w:rsidTr="00407917">
              <w:trPr>
                <w:trHeight w:val="718"/>
              </w:trPr>
              <w:tc>
                <w:tcPr>
                  <w:tcW w:w="2554" w:type="dxa"/>
                </w:tcPr>
                <w:p w14:paraId="70ED9B73" w14:textId="77777777" w:rsidR="00A3194C" w:rsidRPr="00B77D57" w:rsidRDefault="00A3194C" w:rsidP="002334DF">
                  <w:r w:rsidRPr="00B77D57">
                    <w:t>28 November 2022</w:t>
                  </w:r>
                </w:p>
              </w:tc>
              <w:tc>
                <w:tcPr>
                  <w:tcW w:w="4097" w:type="dxa"/>
                </w:tcPr>
                <w:p w14:paraId="6671764C" w14:textId="77777777" w:rsidR="00A3194C" w:rsidRPr="00B77D57" w:rsidRDefault="00A3194C" w:rsidP="002334DF">
                  <w:r w:rsidRPr="00B77D57">
                    <w:t>The Marquis Events Place BGC, Inc., Taguig City</w:t>
                  </w:r>
                </w:p>
              </w:tc>
            </w:tr>
          </w:tbl>
          <w:p w14:paraId="4CF3B0FF" w14:textId="77777777" w:rsidR="00A3194C" w:rsidRPr="00B77D57" w:rsidRDefault="00A3194C" w:rsidP="002334DF">
            <w:pPr>
              <w:rPr>
                <w:b/>
              </w:rPr>
            </w:pPr>
          </w:p>
        </w:tc>
        <w:tc>
          <w:tcPr>
            <w:tcW w:w="5533" w:type="dxa"/>
          </w:tcPr>
          <w:p w14:paraId="3BD9FC6E" w14:textId="77777777" w:rsidR="00A3194C" w:rsidRPr="00B77D57" w:rsidRDefault="00A3194C" w:rsidP="002334DF"/>
        </w:tc>
        <w:tc>
          <w:tcPr>
            <w:tcW w:w="4820" w:type="dxa"/>
          </w:tcPr>
          <w:p w14:paraId="34B5E0FA" w14:textId="77777777" w:rsidR="00A3194C" w:rsidRPr="00B77D57" w:rsidRDefault="00A3194C" w:rsidP="002334DF"/>
        </w:tc>
      </w:tr>
      <w:tr w:rsidR="00A3194C" w:rsidRPr="00B77D57" w14:paraId="4F5D8811" w14:textId="77777777" w:rsidTr="002334DF">
        <w:tc>
          <w:tcPr>
            <w:tcW w:w="7645" w:type="dxa"/>
          </w:tcPr>
          <w:p w14:paraId="3C43A309" w14:textId="77777777" w:rsidR="00A3194C" w:rsidRPr="00B77D57" w:rsidRDefault="00A3194C" w:rsidP="002334DF">
            <w:r w:rsidRPr="00B77D57">
              <w:rPr>
                <w:b/>
              </w:rPr>
              <w:t>NOW THEREFORE</w:t>
            </w:r>
            <w:r w:rsidRPr="00B77D57">
              <w:t>, from the foregoing premises, the DOE hereby adopts the following guidelines for the decommissioning and mothballing of generating plant or unit:</w:t>
            </w:r>
          </w:p>
          <w:p w14:paraId="09D25A61" w14:textId="77777777" w:rsidR="00A3194C" w:rsidRPr="00B77D57" w:rsidRDefault="00A3194C" w:rsidP="002334DF"/>
          <w:p w14:paraId="65E1E100" w14:textId="77777777" w:rsidR="00A3194C" w:rsidRPr="00B77D57" w:rsidRDefault="00A3194C" w:rsidP="002334DF">
            <w:r w:rsidRPr="00B77D57">
              <w:rPr>
                <w:b/>
                <w:bCs/>
              </w:rPr>
              <w:t xml:space="preserve">Section 1. General Principles. </w:t>
            </w:r>
            <w:r w:rsidRPr="00B77D57">
              <w:t xml:space="preserve">The DOE hereby adopts these guidelines for decommissioning or mothballing of the generating plant or unit to achieve the following: </w:t>
            </w:r>
          </w:p>
        </w:tc>
        <w:tc>
          <w:tcPr>
            <w:tcW w:w="5533" w:type="dxa"/>
          </w:tcPr>
          <w:p w14:paraId="2581ABD2" w14:textId="77777777" w:rsidR="00A3194C" w:rsidRPr="00B77D57" w:rsidRDefault="00A3194C" w:rsidP="002334DF"/>
        </w:tc>
        <w:tc>
          <w:tcPr>
            <w:tcW w:w="4820" w:type="dxa"/>
          </w:tcPr>
          <w:p w14:paraId="7AA96390" w14:textId="77777777" w:rsidR="00A3194C" w:rsidRPr="00B77D57" w:rsidRDefault="00A3194C" w:rsidP="002334DF"/>
        </w:tc>
      </w:tr>
      <w:tr w:rsidR="00A3194C" w:rsidRPr="00B77D57" w14:paraId="73BAEEB1" w14:textId="77777777" w:rsidTr="002334DF">
        <w:tc>
          <w:tcPr>
            <w:tcW w:w="7645" w:type="dxa"/>
          </w:tcPr>
          <w:p w14:paraId="5239DEA6" w14:textId="77777777" w:rsidR="00A3194C" w:rsidRPr="00B77D57" w:rsidRDefault="00A3194C" w:rsidP="002334DF">
            <w:pPr>
              <w:pStyle w:val="ListParagraph"/>
              <w:numPr>
                <w:ilvl w:val="1"/>
                <w:numId w:val="4"/>
              </w:numPr>
              <w:ind w:left="696" w:hanging="540"/>
            </w:pPr>
            <w:r w:rsidRPr="00B77D57">
              <w:t>Ensure reliability and security of power supply such that the power system, wholly or partly, will not be compromised by the decommissioning or mothballing of a generating plant or unit;</w:t>
            </w:r>
          </w:p>
        </w:tc>
        <w:tc>
          <w:tcPr>
            <w:tcW w:w="5533" w:type="dxa"/>
          </w:tcPr>
          <w:p w14:paraId="111F646B" w14:textId="77777777" w:rsidR="00A3194C" w:rsidRPr="00B77D57" w:rsidRDefault="00A3194C" w:rsidP="002334DF"/>
        </w:tc>
        <w:tc>
          <w:tcPr>
            <w:tcW w:w="4820" w:type="dxa"/>
          </w:tcPr>
          <w:p w14:paraId="7C5C15BD" w14:textId="77777777" w:rsidR="00A3194C" w:rsidRPr="00B77D57" w:rsidRDefault="00A3194C" w:rsidP="002334DF"/>
        </w:tc>
      </w:tr>
      <w:tr w:rsidR="00A3194C" w:rsidRPr="00B77D57" w14:paraId="21B84EF6" w14:textId="77777777" w:rsidTr="002334DF">
        <w:tc>
          <w:tcPr>
            <w:tcW w:w="7645" w:type="dxa"/>
          </w:tcPr>
          <w:p w14:paraId="6563E007" w14:textId="77777777" w:rsidR="00A3194C" w:rsidRPr="00B77D57" w:rsidRDefault="00A3194C" w:rsidP="002334DF">
            <w:pPr>
              <w:pStyle w:val="ListParagraph"/>
              <w:numPr>
                <w:ilvl w:val="1"/>
                <w:numId w:val="4"/>
              </w:numPr>
              <w:ind w:left="696" w:hanging="540"/>
            </w:pPr>
            <w:r w:rsidRPr="00B77D57">
              <w:t>Strengthen the planning and monitoring of supply profile by identifying the generating plant or unit that will be disconnected from the system.</w:t>
            </w:r>
          </w:p>
        </w:tc>
        <w:tc>
          <w:tcPr>
            <w:tcW w:w="5533" w:type="dxa"/>
          </w:tcPr>
          <w:p w14:paraId="439663C1" w14:textId="77777777" w:rsidR="00A3194C" w:rsidRPr="00B77D57" w:rsidRDefault="00A3194C" w:rsidP="002334DF"/>
        </w:tc>
        <w:tc>
          <w:tcPr>
            <w:tcW w:w="4820" w:type="dxa"/>
          </w:tcPr>
          <w:p w14:paraId="7B7DBC93" w14:textId="77777777" w:rsidR="00A3194C" w:rsidRPr="00B77D57" w:rsidRDefault="00A3194C" w:rsidP="002334DF"/>
        </w:tc>
      </w:tr>
      <w:tr w:rsidR="00A3194C" w:rsidRPr="00B77D57" w14:paraId="02AC1492" w14:textId="77777777" w:rsidTr="002334DF">
        <w:tc>
          <w:tcPr>
            <w:tcW w:w="7645" w:type="dxa"/>
          </w:tcPr>
          <w:p w14:paraId="36B9FB13" w14:textId="77777777" w:rsidR="00A3194C" w:rsidRPr="00B77D57" w:rsidRDefault="00A3194C" w:rsidP="002334DF">
            <w:pPr>
              <w:pStyle w:val="ListParagraph"/>
              <w:numPr>
                <w:ilvl w:val="1"/>
                <w:numId w:val="4"/>
              </w:numPr>
              <w:ind w:left="696" w:hanging="540"/>
            </w:pPr>
            <w:r w:rsidRPr="00B77D57">
              <w:t xml:space="preserve">Ensure compliance </w:t>
            </w:r>
            <w:proofErr w:type="gramStart"/>
            <w:r w:rsidRPr="00B77D57">
              <w:t>with regard to</w:t>
            </w:r>
            <w:proofErr w:type="gramEnd"/>
            <w:r w:rsidRPr="00B77D57">
              <w:t xml:space="preserve"> appurtenant permits, obligations, contracts, agreements, and other responsibilities prior to decommissioning or mothballing, and define the prescription period for such; and</w:t>
            </w:r>
          </w:p>
        </w:tc>
        <w:tc>
          <w:tcPr>
            <w:tcW w:w="5533" w:type="dxa"/>
          </w:tcPr>
          <w:p w14:paraId="17E1DB3A" w14:textId="77777777" w:rsidR="00A3194C" w:rsidRPr="00B77D57" w:rsidRDefault="00A3194C" w:rsidP="002334DF"/>
        </w:tc>
        <w:tc>
          <w:tcPr>
            <w:tcW w:w="4820" w:type="dxa"/>
          </w:tcPr>
          <w:p w14:paraId="4EA3F2F2" w14:textId="77777777" w:rsidR="00A3194C" w:rsidRPr="00B77D57" w:rsidRDefault="00A3194C" w:rsidP="002334DF"/>
        </w:tc>
      </w:tr>
      <w:tr w:rsidR="00A3194C" w:rsidRPr="00B77D57" w14:paraId="67679EA8" w14:textId="77777777" w:rsidTr="002334DF">
        <w:tc>
          <w:tcPr>
            <w:tcW w:w="7645" w:type="dxa"/>
          </w:tcPr>
          <w:p w14:paraId="1E9DD2AC" w14:textId="77777777" w:rsidR="00A3194C" w:rsidRPr="00B77D57" w:rsidRDefault="00A3194C" w:rsidP="002334DF">
            <w:pPr>
              <w:pStyle w:val="ListParagraph"/>
              <w:numPr>
                <w:ilvl w:val="1"/>
                <w:numId w:val="4"/>
              </w:numPr>
              <w:ind w:left="696" w:hanging="540"/>
            </w:pPr>
            <w:r w:rsidRPr="00B77D57">
              <w:t xml:space="preserve">Clarify that the decommissioning or mothballing of a generating plant or unit shall not in any way exempt or discharge the </w:t>
            </w:r>
            <w:proofErr w:type="spellStart"/>
            <w:r w:rsidRPr="00B77D57">
              <w:t>GenCo</w:t>
            </w:r>
            <w:proofErr w:type="spellEnd"/>
            <w:r w:rsidRPr="00B77D57">
              <w:t xml:space="preserve"> from any pending obligations, liabilities, and/or penalties that may be imposed by other entities.</w:t>
            </w:r>
          </w:p>
        </w:tc>
        <w:tc>
          <w:tcPr>
            <w:tcW w:w="5533" w:type="dxa"/>
          </w:tcPr>
          <w:p w14:paraId="27A7DBB7" w14:textId="77777777" w:rsidR="00A3194C" w:rsidRPr="00B77D57" w:rsidRDefault="00A3194C" w:rsidP="002334DF"/>
        </w:tc>
        <w:tc>
          <w:tcPr>
            <w:tcW w:w="4820" w:type="dxa"/>
          </w:tcPr>
          <w:p w14:paraId="6DA4D40B" w14:textId="77777777" w:rsidR="00A3194C" w:rsidRPr="00B77D57" w:rsidRDefault="00A3194C" w:rsidP="002334DF"/>
        </w:tc>
      </w:tr>
      <w:tr w:rsidR="00A3194C" w:rsidRPr="00B77D57" w14:paraId="6FDB88B6" w14:textId="77777777" w:rsidTr="002334DF">
        <w:tc>
          <w:tcPr>
            <w:tcW w:w="7645" w:type="dxa"/>
          </w:tcPr>
          <w:p w14:paraId="0D3E8C32" w14:textId="77777777" w:rsidR="00A3194C" w:rsidRPr="00B77D57" w:rsidRDefault="00A3194C" w:rsidP="002334DF">
            <w:pPr>
              <w:rPr>
                <w:bCs/>
              </w:rPr>
            </w:pPr>
            <w:r w:rsidRPr="00B77D57">
              <w:rPr>
                <w:b/>
              </w:rPr>
              <w:t xml:space="preserve">Section 2. Scope. </w:t>
            </w:r>
            <w:r w:rsidRPr="00B77D57">
              <w:rPr>
                <w:bCs/>
              </w:rPr>
              <w:t xml:space="preserve">This Guidelines shall apply to all generating plant or unit intending to conduct decommissioning or mothballing, including the embedded generating facilities, regardless of their technology, and mode of connection; </w:t>
            </w:r>
            <w:r w:rsidRPr="00B77D57">
              <w:rPr>
                <w:bCs/>
                <w:i/>
                <w:iCs/>
              </w:rPr>
              <w:t>Provided</w:t>
            </w:r>
            <w:r w:rsidRPr="00B77D57">
              <w:rPr>
                <w:bCs/>
              </w:rPr>
              <w:t xml:space="preserve"> that </w:t>
            </w:r>
            <w:r w:rsidRPr="00B77D57">
              <w:t>t</w:t>
            </w:r>
            <w:r w:rsidRPr="00B77D57">
              <w:rPr>
                <w:bCs/>
              </w:rPr>
              <w:t xml:space="preserve">he decommissioning and </w:t>
            </w:r>
            <w:r w:rsidRPr="00B77D57">
              <w:rPr>
                <w:bCs/>
              </w:rPr>
              <w:lastRenderedPageBreak/>
              <w:t>mothballing for a nuclear power plant will be covered by a separate policy.</w:t>
            </w:r>
          </w:p>
        </w:tc>
        <w:tc>
          <w:tcPr>
            <w:tcW w:w="5533" w:type="dxa"/>
          </w:tcPr>
          <w:p w14:paraId="339502A0" w14:textId="77777777" w:rsidR="00A3194C" w:rsidRPr="00B77D57" w:rsidRDefault="00A3194C" w:rsidP="002334DF"/>
        </w:tc>
        <w:tc>
          <w:tcPr>
            <w:tcW w:w="4820" w:type="dxa"/>
          </w:tcPr>
          <w:p w14:paraId="76929142" w14:textId="77777777" w:rsidR="00A3194C" w:rsidRPr="00B77D57" w:rsidRDefault="00A3194C" w:rsidP="002334DF"/>
        </w:tc>
      </w:tr>
      <w:tr w:rsidR="00A3194C" w:rsidRPr="00B77D57" w14:paraId="5E9F50DA" w14:textId="77777777" w:rsidTr="002334DF">
        <w:tc>
          <w:tcPr>
            <w:tcW w:w="7645" w:type="dxa"/>
          </w:tcPr>
          <w:p w14:paraId="54189225" w14:textId="77777777" w:rsidR="00A3194C" w:rsidRPr="00B77D57" w:rsidRDefault="00A3194C" w:rsidP="002334DF">
            <w:pPr>
              <w:ind w:right="4"/>
              <w:rPr>
                <w:b/>
              </w:rPr>
            </w:pPr>
            <w:r w:rsidRPr="00B77D57">
              <w:rPr>
                <w:b/>
              </w:rPr>
              <w:t>Section 3. Definition of Terms.</w:t>
            </w:r>
          </w:p>
        </w:tc>
        <w:tc>
          <w:tcPr>
            <w:tcW w:w="5533" w:type="dxa"/>
          </w:tcPr>
          <w:p w14:paraId="4DAB8229" w14:textId="77777777" w:rsidR="00A3194C" w:rsidRPr="00B77D57" w:rsidRDefault="00A3194C" w:rsidP="002334DF"/>
        </w:tc>
        <w:tc>
          <w:tcPr>
            <w:tcW w:w="4820" w:type="dxa"/>
          </w:tcPr>
          <w:p w14:paraId="47AD4E3D" w14:textId="77777777" w:rsidR="00A3194C" w:rsidRPr="00B77D57" w:rsidRDefault="00A3194C" w:rsidP="002334DF"/>
        </w:tc>
      </w:tr>
      <w:tr w:rsidR="00A3194C" w:rsidRPr="00B77D57" w14:paraId="64D08D33" w14:textId="77777777" w:rsidTr="002334DF">
        <w:tc>
          <w:tcPr>
            <w:tcW w:w="7645" w:type="dxa"/>
          </w:tcPr>
          <w:p w14:paraId="20ED9B1B"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sz w:val="24"/>
                <w:szCs w:val="24"/>
              </w:rPr>
            </w:pPr>
            <w:r w:rsidRPr="00B77D57">
              <w:rPr>
                <w:rFonts w:ascii="Arial" w:hAnsi="Arial" w:cs="Arial"/>
                <w:b/>
                <w:bCs/>
                <w:sz w:val="24"/>
                <w:szCs w:val="24"/>
                <w:lang w:val="en-US"/>
              </w:rPr>
              <w:t xml:space="preserve">“Connection Assets” </w:t>
            </w:r>
            <w:r w:rsidRPr="00B77D57">
              <w:rPr>
                <w:rFonts w:ascii="Arial" w:hAnsi="Arial" w:cs="Arial"/>
                <w:sz w:val="24"/>
                <w:szCs w:val="24"/>
                <w:lang w:val="en-US"/>
              </w:rPr>
              <w:t>refer to</w:t>
            </w:r>
            <w:r w:rsidRPr="00B77D57">
              <w:rPr>
                <w:rFonts w:ascii="Arial" w:hAnsi="Arial" w:cs="Arial"/>
                <w:b/>
                <w:bCs/>
                <w:sz w:val="24"/>
                <w:szCs w:val="24"/>
                <w:lang w:val="en-US"/>
              </w:rPr>
              <w:t xml:space="preserve"> </w:t>
            </w:r>
            <w:r w:rsidRPr="00B77D57">
              <w:rPr>
                <w:rFonts w:ascii="Arial" w:hAnsi="Arial" w:cs="Arial"/>
                <w:sz w:val="24"/>
                <w:szCs w:val="24"/>
                <w:lang w:val="en-US"/>
              </w:rPr>
              <w:t>assets that are put in place primarily to connect a customer/s to the Grid and used for purposes of Transmission Connection Services for the conveyance of electricity which if taken out of the System, will only affect the Customer connected to it and will have minimal effect on the Grid, or other connected Customers</w:t>
            </w:r>
            <w:r w:rsidRPr="00B77D57">
              <w:rPr>
                <w:rStyle w:val="FootnoteReference"/>
                <w:rFonts w:ascii="Arial" w:hAnsi="Arial" w:cs="Arial"/>
                <w:sz w:val="24"/>
                <w:szCs w:val="24"/>
                <w:lang w:val="en-US"/>
              </w:rPr>
              <w:footnoteReference w:id="8"/>
            </w:r>
            <w:r w:rsidRPr="00B77D57">
              <w:rPr>
                <w:rFonts w:ascii="Arial" w:hAnsi="Arial" w:cs="Arial"/>
                <w:sz w:val="24"/>
                <w:szCs w:val="24"/>
                <w:lang w:val="en-US"/>
              </w:rPr>
              <w:t>. It also refers to a</w:t>
            </w:r>
            <w:proofErr w:type="spellStart"/>
            <w:r w:rsidRPr="00B77D57">
              <w:rPr>
                <w:rFonts w:ascii="Arial" w:hAnsi="Arial" w:cs="Arial"/>
                <w:sz w:val="24"/>
                <w:szCs w:val="24"/>
              </w:rPr>
              <w:t>ny</w:t>
            </w:r>
            <w:proofErr w:type="spellEnd"/>
            <w:r w:rsidRPr="00B77D57">
              <w:rPr>
                <w:rFonts w:ascii="Arial" w:hAnsi="Arial" w:cs="Arial"/>
                <w:sz w:val="24"/>
                <w:szCs w:val="24"/>
              </w:rPr>
              <w:t xml:space="preserve"> component of a transmission system or distribution system which, in the reasonable opinion of the Market Operator (MO), is associated with a connection point, including metering installations</w:t>
            </w:r>
            <w:r w:rsidRPr="00B77D57">
              <w:rPr>
                <w:rStyle w:val="FootnoteReference"/>
                <w:rFonts w:ascii="Arial" w:hAnsi="Arial" w:cs="Arial"/>
                <w:sz w:val="24"/>
                <w:szCs w:val="24"/>
              </w:rPr>
              <w:footnoteReference w:id="9"/>
            </w:r>
            <w:r w:rsidRPr="00B77D57">
              <w:rPr>
                <w:rFonts w:ascii="Arial" w:hAnsi="Arial" w:cs="Arial"/>
                <w:sz w:val="24"/>
                <w:szCs w:val="24"/>
              </w:rPr>
              <w:t>.</w:t>
            </w:r>
            <w:r w:rsidRPr="00B77D57" w:rsidDel="00D30020">
              <w:rPr>
                <w:rStyle w:val="FootnoteReference"/>
                <w:rFonts w:ascii="Arial" w:hAnsi="Arial" w:cs="Arial"/>
                <w:sz w:val="24"/>
                <w:szCs w:val="24"/>
              </w:rPr>
              <w:t xml:space="preserve"> </w:t>
            </w:r>
          </w:p>
        </w:tc>
        <w:tc>
          <w:tcPr>
            <w:tcW w:w="5533" w:type="dxa"/>
          </w:tcPr>
          <w:p w14:paraId="56642177" w14:textId="77777777" w:rsidR="00A3194C" w:rsidRPr="00B77D57" w:rsidRDefault="00A3194C" w:rsidP="002334DF"/>
        </w:tc>
        <w:tc>
          <w:tcPr>
            <w:tcW w:w="4820" w:type="dxa"/>
          </w:tcPr>
          <w:p w14:paraId="5A64B715" w14:textId="77777777" w:rsidR="00A3194C" w:rsidRPr="00B77D57" w:rsidRDefault="00A3194C" w:rsidP="002334DF"/>
        </w:tc>
      </w:tr>
      <w:tr w:rsidR="00A3194C" w:rsidRPr="00B77D57" w14:paraId="13E0E4EB" w14:textId="77777777" w:rsidTr="002334DF">
        <w:tc>
          <w:tcPr>
            <w:tcW w:w="7645" w:type="dxa"/>
          </w:tcPr>
          <w:p w14:paraId="2FC5BEEF" w14:textId="77777777" w:rsidR="00A3194C" w:rsidRPr="00B77D57" w:rsidRDefault="00A3194C" w:rsidP="002334DF">
            <w:pPr>
              <w:pStyle w:val="NoSpacing"/>
              <w:numPr>
                <w:ilvl w:val="1"/>
                <w:numId w:val="5"/>
              </w:numPr>
              <w:shd w:val="clear" w:color="auto" w:fill="FFFFFF" w:themeFill="background1"/>
              <w:ind w:left="900" w:hanging="540"/>
              <w:jc w:val="both"/>
              <w:rPr>
                <w:b/>
              </w:rPr>
            </w:pPr>
            <w:r w:rsidRPr="00B77D57">
              <w:rPr>
                <w:rFonts w:ascii="Arial" w:hAnsi="Arial" w:cs="Arial"/>
                <w:b/>
                <w:bCs/>
                <w:sz w:val="24"/>
                <w:szCs w:val="24"/>
                <w:lang w:val="en-US"/>
              </w:rPr>
              <w:t xml:space="preserve">“Decommissioning” </w:t>
            </w:r>
            <w:r w:rsidRPr="00B77D57">
              <w:rPr>
                <w:rFonts w:ascii="Arial" w:hAnsi="Arial" w:cs="Arial"/>
                <w:sz w:val="24"/>
                <w:szCs w:val="24"/>
                <w:lang w:val="en-US"/>
              </w:rPr>
              <w:t>refers to the process undertaken voluntarily by a generating company through which its generating plant or unit is retired from service and its operating licenses are revoked. It involves the process of removing all associated generating facilities used solely by the subject generating plant or unit, which may be sold or discarded. Some demolition of structures may be performed to facilitate cleaning or equipment removal</w:t>
            </w:r>
            <w:r w:rsidRPr="00B77D57">
              <w:rPr>
                <w:vertAlign w:val="superscript"/>
                <w:lang w:val="en-US"/>
              </w:rPr>
              <w:footnoteReference w:id="10"/>
            </w:r>
            <w:r w:rsidRPr="00B77D57">
              <w:rPr>
                <w:rFonts w:ascii="Arial" w:hAnsi="Arial" w:cs="Arial"/>
                <w:sz w:val="24"/>
                <w:szCs w:val="24"/>
                <w:lang w:val="en-US"/>
              </w:rPr>
              <w:t>.</w:t>
            </w:r>
            <w:r w:rsidRPr="00B77D57">
              <w:rPr>
                <w:vertAlign w:val="superscript"/>
                <w:lang w:val="en-US"/>
              </w:rPr>
              <w:t xml:space="preserve"> </w:t>
            </w:r>
          </w:p>
        </w:tc>
        <w:tc>
          <w:tcPr>
            <w:tcW w:w="5533" w:type="dxa"/>
          </w:tcPr>
          <w:p w14:paraId="503AB5C2" w14:textId="77777777" w:rsidR="00A3194C" w:rsidRPr="00B77D57" w:rsidRDefault="00A3194C" w:rsidP="002334DF"/>
        </w:tc>
        <w:tc>
          <w:tcPr>
            <w:tcW w:w="4820" w:type="dxa"/>
          </w:tcPr>
          <w:p w14:paraId="775BB2A2" w14:textId="77777777" w:rsidR="00A3194C" w:rsidRPr="00B77D57" w:rsidRDefault="00A3194C" w:rsidP="002334DF"/>
        </w:tc>
      </w:tr>
      <w:tr w:rsidR="00A3194C" w:rsidRPr="00B77D57" w14:paraId="2639C38E" w14:textId="77777777" w:rsidTr="002334DF">
        <w:tc>
          <w:tcPr>
            <w:tcW w:w="7645" w:type="dxa"/>
          </w:tcPr>
          <w:p w14:paraId="35BACCC9"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sz w:val="24"/>
                <w:szCs w:val="24"/>
                <w:lang w:val="en-US"/>
              </w:rPr>
            </w:pPr>
            <w:r w:rsidRPr="00B77D57">
              <w:rPr>
                <w:rFonts w:ascii="Arial" w:hAnsi="Arial" w:cs="Arial"/>
                <w:b/>
                <w:bCs/>
                <w:sz w:val="24"/>
                <w:szCs w:val="24"/>
                <w:lang w:val="en-US"/>
              </w:rPr>
              <w:t xml:space="preserve">“Embedded Generators / Embedded Generating Facilities” </w:t>
            </w:r>
            <w:r w:rsidRPr="00B77D57">
              <w:rPr>
                <w:rFonts w:ascii="Arial" w:hAnsi="Arial" w:cs="Arial"/>
                <w:sz w:val="24"/>
                <w:szCs w:val="24"/>
                <w:lang w:val="en-US"/>
              </w:rPr>
              <w:t xml:space="preserve">refers to generating units that are indirectly connected to the Grid through the distribution system that supplies power to its host Distribution Utilities (DU) or the Grid. </w:t>
            </w:r>
          </w:p>
        </w:tc>
        <w:tc>
          <w:tcPr>
            <w:tcW w:w="5533" w:type="dxa"/>
          </w:tcPr>
          <w:p w14:paraId="5A4F0473" w14:textId="77777777" w:rsidR="00A3194C" w:rsidRPr="00B77D57" w:rsidRDefault="00A3194C" w:rsidP="002334DF"/>
        </w:tc>
        <w:tc>
          <w:tcPr>
            <w:tcW w:w="4820" w:type="dxa"/>
          </w:tcPr>
          <w:p w14:paraId="246A89EB" w14:textId="77777777" w:rsidR="00A3194C" w:rsidRPr="00B77D57" w:rsidRDefault="00A3194C" w:rsidP="002334DF"/>
        </w:tc>
      </w:tr>
      <w:tr w:rsidR="00A3194C" w:rsidRPr="00B77D57" w14:paraId="1A0A6FE8" w14:textId="77777777" w:rsidTr="002334DF">
        <w:tc>
          <w:tcPr>
            <w:tcW w:w="7645" w:type="dxa"/>
          </w:tcPr>
          <w:p w14:paraId="110FE77F"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sz w:val="24"/>
                <w:szCs w:val="24"/>
                <w:lang w:val="en-US"/>
              </w:rPr>
            </w:pPr>
            <w:r w:rsidRPr="00B77D57">
              <w:rPr>
                <w:rFonts w:ascii="Arial" w:hAnsi="Arial" w:cs="Arial"/>
                <w:b/>
                <w:bCs/>
                <w:sz w:val="24"/>
                <w:szCs w:val="24"/>
                <w:lang w:val="en-US"/>
              </w:rPr>
              <w:t>“Generating Plant”</w:t>
            </w:r>
            <w:r w:rsidRPr="00B77D57">
              <w:rPr>
                <w:rFonts w:ascii="Arial" w:hAnsi="Arial" w:cs="Arial"/>
                <w:sz w:val="24"/>
                <w:szCs w:val="24"/>
                <w:lang w:val="en-US"/>
              </w:rPr>
              <w:t xml:space="preserve"> refers to one or more generating units, where electric energy is produced from some other form of energy by means of a suitable apparatus</w:t>
            </w:r>
            <w:r w:rsidRPr="00B77D57">
              <w:rPr>
                <w:vertAlign w:val="superscript"/>
                <w:lang w:val="en-US"/>
              </w:rPr>
              <w:footnoteReference w:id="11"/>
            </w:r>
            <w:r w:rsidRPr="00B77D57">
              <w:rPr>
                <w:rFonts w:ascii="Arial" w:hAnsi="Arial" w:cs="Arial"/>
                <w:sz w:val="24"/>
                <w:szCs w:val="24"/>
                <w:lang w:val="en-US"/>
              </w:rPr>
              <w:t>.</w:t>
            </w:r>
          </w:p>
        </w:tc>
        <w:tc>
          <w:tcPr>
            <w:tcW w:w="5533" w:type="dxa"/>
          </w:tcPr>
          <w:p w14:paraId="2A309C80" w14:textId="77777777" w:rsidR="00A3194C" w:rsidRPr="00B77D57" w:rsidRDefault="00A3194C" w:rsidP="002334DF"/>
        </w:tc>
        <w:tc>
          <w:tcPr>
            <w:tcW w:w="4820" w:type="dxa"/>
          </w:tcPr>
          <w:p w14:paraId="25F0982B" w14:textId="77777777" w:rsidR="00A3194C" w:rsidRPr="00B77D57" w:rsidRDefault="00A3194C" w:rsidP="002334DF"/>
        </w:tc>
      </w:tr>
      <w:tr w:rsidR="00A3194C" w:rsidRPr="00B77D57" w14:paraId="159288BB" w14:textId="77777777" w:rsidTr="002334DF">
        <w:tc>
          <w:tcPr>
            <w:tcW w:w="7645" w:type="dxa"/>
          </w:tcPr>
          <w:p w14:paraId="1D73D94C"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sz w:val="24"/>
                <w:szCs w:val="24"/>
                <w:lang w:val="en-US"/>
              </w:rPr>
            </w:pPr>
            <w:r w:rsidRPr="00B77D57">
              <w:rPr>
                <w:rFonts w:ascii="Arial" w:hAnsi="Arial" w:cs="Arial"/>
                <w:b/>
                <w:bCs/>
                <w:sz w:val="24"/>
                <w:szCs w:val="24"/>
                <w:lang w:val="en-US"/>
              </w:rPr>
              <w:lastRenderedPageBreak/>
              <w:t>“Generating Unit”</w:t>
            </w:r>
            <w:r w:rsidRPr="00B77D57">
              <w:rPr>
                <w:rFonts w:ascii="Arial" w:hAnsi="Arial" w:cs="Arial"/>
                <w:sz w:val="24"/>
                <w:szCs w:val="24"/>
                <w:lang w:val="en-US"/>
              </w:rPr>
              <w:t xml:space="preserve"> refers to a unit conversion apparatus including auxiliaries and associated equipment, functioning as a single unit, which is used to produce electric energy from some other form of energy</w:t>
            </w:r>
            <w:r w:rsidRPr="00B77D57">
              <w:rPr>
                <w:vertAlign w:val="superscript"/>
                <w:lang w:val="en-US"/>
              </w:rPr>
              <w:footnoteReference w:id="12"/>
            </w:r>
            <w:r w:rsidRPr="00B77D57">
              <w:rPr>
                <w:rFonts w:ascii="Arial" w:hAnsi="Arial" w:cs="Arial"/>
                <w:sz w:val="24"/>
                <w:szCs w:val="24"/>
                <w:lang w:val="en-US"/>
              </w:rPr>
              <w:t>.</w:t>
            </w:r>
          </w:p>
        </w:tc>
        <w:tc>
          <w:tcPr>
            <w:tcW w:w="5533" w:type="dxa"/>
          </w:tcPr>
          <w:p w14:paraId="0063ED10" w14:textId="77777777" w:rsidR="00A3194C" w:rsidRPr="00B77D57" w:rsidRDefault="00A3194C" w:rsidP="002334DF"/>
        </w:tc>
        <w:tc>
          <w:tcPr>
            <w:tcW w:w="4820" w:type="dxa"/>
          </w:tcPr>
          <w:p w14:paraId="148A37FC" w14:textId="77777777" w:rsidR="00A3194C" w:rsidRPr="00B77D57" w:rsidRDefault="00A3194C" w:rsidP="002334DF"/>
        </w:tc>
      </w:tr>
      <w:tr w:rsidR="00A3194C" w:rsidRPr="00B77D57" w14:paraId="2D4C8340" w14:textId="77777777" w:rsidTr="002334DF">
        <w:tc>
          <w:tcPr>
            <w:tcW w:w="7645" w:type="dxa"/>
          </w:tcPr>
          <w:p w14:paraId="31942909"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sz w:val="24"/>
                <w:szCs w:val="24"/>
                <w:lang w:val="en-US"/>
              </w:rPr>
            </w:pPr>
            <w:r w:rsidRPr="00B77D57">
              <w:rPr>
                <w:rFonts w:ascii="Arial" w:hAnsi="Arial" w:cs="Arial"/>
                <w:b/>
                <w:bCs/>
                <w:sz w:val="24"/>
                <w:szCs w:val="24"/>
                <w:lang w:val="en-US"/>
              </w:rPr>
              <w:t>“Mothballing”</w:t>
            </w:r>
            <w:r w:rsidRPr="00B77D57">
              <w:rPr>
                <w:rFonts w:ascii="Arial" w:hAnsi="Arial" w:cs="Arial"/>
                <w:sz w:val="24"/>
                <w:szCs w:val="24"/>
                <w:lang w:val="en-US"/>
              </w:rPr>
              <w:t xml:space="preserve"> refers to the process of temporary deactivation and removal from the service of the generating plant or unit, for not less than 6 months for their preservation so they can be restarted, used, or sold at a future date</w:t>
            </w:r>
            <w:r w:rsidRPr="00B77D57">
              <w:rPr>
                <w:vertAlign w:val="superscript"/>
                <w:lang w:val="en-US"/>
              </w:rPr>
              <w:footnoteReference w:id="13"/>
            </w:r>
            <w:r w:rsidRPr="00B77D57">
              <w:rPr>
                <w:rFonts w:ascii="Arial" w:hAnsi="Arial" w:cs="Arial"/>
                <w:sz w:val="24"/>
                <w:szCs w:val="24"/>
                <w:lang w:val="en-US"/>
              </w:rPr>
              <w:t>.</w:t>
            </w:r>
          </w:p>
        </w:tc>
        <w:tc>
          <w:tcPr>
            <w:tcW w:w="5533" w:type="dxa"/>
          </w:tcPr>
          <w:p w14:paraId="1BF705A9" w14:textId="77777777" w:rsidR="00A3194C" w:rsidRPr="00B77D57" w:rsidRDefault="00A3194C" w:rsidP="002334DF"/>
        </w:tc>
        <w:tc>
          <w:tcPr>
            <w:tcW w:w="4820" w:type="dxa"/>
          </w:tcPr>
          <w:p w14:paraId="6EA0E3B5" w14:textId="77777777" w:rsidR="00A3194C" w:rsidRPr="00B77D57" w:rsidRDefault="00A3194C" w:rsidP="002334DF"/>
        </w:tc>
      </w:tr>
      <w:tr w:rsidR="00A3194C" w:rsidRPr="00B77D57" w14:paraId="6E809D69" w14:textId="77777777" w:rsidTr="002334DF">
        <w:tc>
          <w:tcPr>
            <w:tcW w:w="7645" w:type="dxa"/>
          </w:tcPr>
          <w:p w14:paraId="6B5408B0"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sz w:val="24"/>
                <w:szCs w:val="24"/>
                <w:lang w:val="en-US"/>
              </w:rPr>
            </w:pPr>
            <w:r w:rsidRPr="00B77D57">
              <w:rPr>
                <w:rFonts w:ascii="Arial" w:hAnsi="Arial" w:cs="Arial"/>
                <w:b/>
                <w:bCs/>
                <w:sz w:val="24"/>
                <w:szCs w:val="24"/>
                <w:lang w:val="en-US"/>
              </w:rPr>
              <w:t>“Network Service Provider (NSP)”</w:t>
            </w:r>
            <w:r w:rsidRPr="00B77D57">
              <w:rPr>
                <w:rFonts w:ascii="Arial" w:hAnsi="Arial" w:cs="Arial"/>
                <w:sz w:val="24"/>
                <w:szCs w:val="24"/>
                <w:lang w:val="en-US"/>
              </w:rPr>
              <w:t xml:space="preserve"> refers to a person who engages in the activity of owning, controlling, or operating a transmission or distribution system.</w:t>
            </w:r>
          </w:p>
        </w:tc>
        <w:tc>
          <w:tcPr>
            <w:tcW w:w="5533" w:type="dxa"/>
          </w:tcPr>
          <w:p w14:paraId="11DE2AFF" w14:textId="77777777" w:rsidR="00A3194C" w:rsidRPr="00B77D57" w:rsidRDefault="00A3194C" w:rsidP="002334DF"/>
        </w:tc>
        <w:tc>
          <w:tcPr>
            <w:tcW w:w="4820" w:type="dxa"/>
          </w:tcPr>
          <w:p w14:paraId="13243136" w14:textId="77777777" w:rsidR="00A3194C" w:rsidRPr="00B77D57" w:rsidRDefault="00A3194C" w:rsidP="002334DF"/>
        </w:tc>
      </w:tr>
      <w:tr w:rsidR="00A3194C" w:rsidRPr="00B77D57" w14:paraId="28644762" w14:textId="77777777" w:rsidTr="002334DF">
        <w:tc>
          <w:tcPr>
            <w:tcW w:w="7645" w:type="dxa"/>
          </w:tcPr>
          <w:p w14:paraId="5723B935" w14:textId="77777777" w:rsidR="00A3194C" w:rsidRPr="00B77D57" w:rsidRDefault="00A3194C" w:rsidP="002334DF">
            <w:pPr>
              <w:pStyle w:val="NoSpacing"/>
              <w:numPr>
                <w:ilvl w:val="1"/>
                <w:numId w:val="5"/>
              </w:numPr>
              <w:shd w:val="clear" w:color="auto" w:fill="FFFFFF" w:themeFill="background1"/>
              <w:ind w:left="900" w:hanging="540"/>
              <w:jc w:val="both"/>
              <w:rPr>
                <w:rFonts w:ascii="Arial" w:hAnsi="Arial" w:cs="Arial"/>
                <w:b/>
                <w:bCs/>
                <w:sz w:val="24"/>
                <w:szCs w:val="24"/>
                <w:lang w:val="en-US"/>
              </w:rPr>
            </w:pPr>
            <w:r w:rsidRPr="00B77D57">
              <w:rPr>
                <w:rFonts w:ascii="Arial" w:hAnsi="Arial" w:cs="Arial"/>
                <w:b/>
                <w:bCs/>
                <w:sz w:val="24"/>
                <w:szCs w:val="24"/>
                <w:lang w:val="en-US"/>
              </w:rPr>
              <w:t xml:space="preserve">“Small Grid System Operator (SGSO)” </w:t>
            </w:r>
            <w:r w:rsidRPr="00B77D57">
              <w:rPr>
                <w:rFonts w:ascii="Arial" w:hAnsi="Arial" w:cs="Arial"/>
                <w:sz w:val="24"/>
                <w:szCs w:val="24"/>
                <w:lang w:val="en-US"/>
              </w:rPr>
              <w:t xml:space="preserve">refers to the party responsible for generation dispatch and real-time control of the power system in off-grid areas through the management of operating reserves, reactive power support, black </w:t>
            </w:r>
            <w:proofErr w:type="gramStart"/>
            <w:r w:rsidRPr="00B77D57">
              <w:rPr>
                <w:rFonts w:ascii="Arial" w:hAnsi="Arial" w:cs="Arial"/>
                <w:sz w:val="24"/>
                <w:szCs w:val="24"/>
                <w:lang w:val="en-US"/>
              </w:rPr>
              <w:t>start</w:t>
            </w:r>
            <w:proofErr w:type="gramEnd"/>
            <w:r w:rsidRPr="00B77D57">
              <w:rPr>
                <w:rFonts w:ascii="Arial" w:hAnsi="Arial" w:cs="Arial"/>
                <w:sz w:val="24"/>
                <w:szCs w:val="24"/>
                <w:lang w:val="en-US"/>
              </w:rPr>
              <w:t xml:space="preserve"> and other operating requirements to ensure safety, power quality, stability, reliability and security of the Small Grid</w:t>
            </w:r>
            <w:r w:rsidRPr="00B77D57">
              <w:rPr>
                <w:rStyle w:val="FootnoteReference"/>
                <w:rFonts w:ascii="Arial" w:hAnsi="Arial" w:cs="Arial"/>
                <w:sz w:val="24"/>
                <w:szCs w:val="24"/>
                <w:lang w:val="en-US"/>
              </w:rPr>
              <w:footnoteReference w:id="14"/>
            </w:r>
            <w:r w:rsidRPr="00B77D57">
              <w:rPr>
                <w:rFonts w:ascii="Arial" w:hAnsi="Arial" w:cs="Arial"/>
                <w:sz w:val="24"/>
                <w:szCs w:val="24"/>
                <w:lang w:val="en-US"/>
              </w:rPr>
              <w:t>.</w:t>
            </w:r>
          </w:p>
        </w:tc>
        <w:tc>
          <w:tcPr>
            <w:tcW w:w="5533" w:type="dxa"/>
          </w:tcPr>
          <w:p w14:paraId="10850E08" w14:textId="77777777" w:rsidR="00A3194C" w:rsidRPr="00B77D57" w:rsidRDefault="00A3194C" w:rsidP="002334DF"/>
        </w:tc>
        <w:tc>
          <w:tcPr>
            <w:tcW w:w="4820" w:type="dxa"/>
          </w:tcPr>
          <w:p w14:paraId="5B781256" w14:textId="77777777" w:rsidR="00A3194C" w:rsidRPr="00B77D57" w:rsidRDefault="00A3194C" w:rsidP="002334DF"/>
        </w:tc>
      </w:tr>
      <w:tr w:rsidR="00A3194C" w:rsidRPr="00B77D57" w14:paraId="2D9B0A11" w14:textId="77777777" w:rsidTr="002334DF">
        <w:tc>
          <w:tcPr>
            <w:tcW w:w="7645" w:type="dxa"/>
          </w:tcPr>
          <w:p w14:paraId="2A1341C9" w14:textId="77777777" w:rsidR="00A3194C" w:rsidRPr="00B77D57" w:rsidRDefault="00A3194C" w:rsidP="002334DF">
            <w:pPr>
              <w:rPr>
                <w:b/>
              </w:rPr>
            </w:pPr>
            <w:r w:rsidRPr="00B77D57">
              <w:rPr>
                <w:b/>
              </w:rPr>
              <w:t>Section 4. Guidelines for Decommissioning and Mothballing</w:t>
            </w:r>
          </w:p>
          <w:p w14:paraId="3FCF84ED" w14:textId="77777777" w:rsidR="00A3194C" w:rsidRPr="00B77D57" w:rsidRDefault="00A3194C" w:rsidP="002334DF">
            <w:pPr>
              <w:rPr>
                <w:b/>
              </w:rPr>
            </w:pPr>
          </w:p>
          <w:p w14:paraId="172B47D3" w14:textId="77777777" w:rsidR="00A3194C" w:rsidRPr="00B77D57" w:rsidRDefault="00A3194C" w:rsidP="002334DF">
            <w:pPr>
              <w:pStyle w:val="ListParagraph"/>
              <w:ind w:left="851"/>
              <w:rPr>
                <w:bCs/>
              </w:rPr>
            </w:pPr>
            <w:r w:rsidRPr="00B77D57">
              <w:rPr>
                <w:bCs/>
              </w:rPr>
              <w:t>The applicant shall comply with the standard procedures and documentary requirements as provided in this Circular.</w:t>
            </w:r>
          </w:p>
        </w:tc>
        <w:tc>
          <w:tcPr>
            <w:tcW w:w="5533" w:type="dxa"/>
          </w:tcPr>
          <w:p w14:paraId="726F2751" w14:textId="77777777" w:rsidR="00A3194C" w:rsidRPr="00B77D57" w:rsidRDefault="00A3194C" w:rsidP="002334DF"/>
        </w:tc>
        <w:tc>
          <w:tcPr>
            <w:tcW w:w="4820" w:type="dxa"/>
          </w:tcPr>
          <w:p w14:paraId="2D443B13" w14:textId="77777777" w:rsidR="00A3194C" w:rsidRPr="00B77D57" w:rsidRDefault="00A3194C" w:rsidP="002334DF"/>
        </w:tc>
      </w:tr>
      <w:tr w:rsidR="00A3194C" w:rsidRPr="00B77D57" w14:paraId="01B5135F" w14:textId="77777777" w:rsidTr="002334DF">
        <w:tc>
          <w:tcPr>
            <w:tcW w:w="7645" w:type="dxa"/>
          </w:tcPr>
          <w:p w14:paraId="2FDDF090" w14:textId="77777777" w:rsidR="00A3194C" w:rsidRPr="00B77D57" w:rsidRDefault="00A3194C" w:rsidP="002334DF">
            <w:pPr>
              <w:pStyle w:val="ListParagraph"/>
              <w:numPr>
                <w:ilvl w:val="0"/>
                <w:numId w:val="6"/>
              </w:numPr>
              <w:ind w:left="900" w:hanging="540"/>
              <w:rPr>
                <w:b/>
              </w:rPr>
            </w:pPr>
            <w:r w:rsidRPr="00B77D57">
              <w:rPr>
                <w:b/>
              </w:rPr>
              <w:t>DECOMMISSIONING</w:t>
            </w:r>
          </w:p>
          <w:p w14:paraId="70629B9A" w14:textId="77777777" w:rsidR="00A3194C" w:rsidRPr="00B77D57" w:rsidRDefault="00A3194C" w:rsidP="002334DF">
            <w:pPr>
              <w:pStyle w:val="ListParagraph"/>
              <w:ind w:left="851"/>
              <w:rPr>
                <w:b/>
              </w:rPr>
            </w:pPr>
          </w:p>
          <w:p w14:paraId="11F8543D" w14:textId="77777777" w:rsidR="00A3194C" w:rsidRPr="00B77D57" w:rsidRDefault="00A3194C" w:rsidP="002334DF">
            <w:pPr>
              <w:pStyle w:val="ListParagraph"/>
              <w:numPr>
                <w:ilvl w:val="1"/>
                <w:numId w:val="7"/>
              </w:numPr>
              <w:ind w:left="900" w:hanging="540"/>
              <w:rPr>
                <w:b/>
                <w:i/>
                <w:iCs/>
              </w:rPr>
            </w:pPr>
            <w:r w:rsidRPr="00B77D57">
              <w:rPr>
                <w:bCs/>
              </w:rPr>
              <w:t>The process of decommissioning begins with the formal submission of Letter of Intent (LOI) to the DOE and ends when the operations of the generating plant or unit completely ceases.</w:t>
            </w:r>
          </w:p>
          <w:p w14:paraId="7EC47435" w14:textId="77777777" w:rsidR="00A3194C" w:rsidRPr="00B77D57" w:rsidRDefault="00A3194C" w:rsidP="002334DF">
            <w:pPr>
              <w:pStyle w:val="ListParagraph"/>
              <w:ind w:left="900"/>
              <w:rPr>
                <w:b/>
                <w:i/>
                <w:iCs/>
              </w:rPr>
            </w:pPr>
          </w:p>
          <w:p w14:paraId="51AB2378" w14:textId="77777777" w:rsidR="00A3194C" w:rsidRPr="00B77D57" w:rsidRDefault="00A3194C" w:rsidP="002334DF">
            <w:pPr>
              <w:pStyle w:val="ListParagraph"/>
              <w:ind w:left="900"/>
              <w:rPr>
                <w:bCs/>
              </w:rPr>
            </w:pPr>
            <w:r w:rsidRPr="00B77D57">
              <w:rPr>
                <w:bCs/>
              </w:rPr>
              <w:t xml:space="preserve">The applicant shall notify the DOE in writing of its intent to decommission its generating plant or unit two (2) years prior </w:t>
            </w:r>
            <w:r w:rsidRPr="00B77D57">
              <w:rPr>
                <w:bCs/>
              </w:rPr>
              <w:lastRenderedPageBreak/>
              <w:t xml:space="preserve">to the target decommissioning date, copy furnished the relevant agencies. </w:t>
            </w:r>
          </w:p>
          <w:p w14:paraId="2D7C8325" w14:textId="77777777" w:rsidR="00A3194C" w:rsidRPr="00B77D57" w:rsidRDefault="00A3194C" w:rsidP="002334DF">
            <w:pPr>
              <w:pStyle w:val="ListParagraph"/>
              <w:ind w:left="900"/>
              <w:rPr>
                <w:bCs/>
              </w:rPr>
            </w:pPr>
          </w:p>
          <w:p w14:paraId="1CBFE009" w14:textId="77777777" w:rsidR="00A3194C" w:rsidRPr="00B77D57" w:rsidRDefault="00A3194C" w:rsidP="002334DF">
            <w:pPr>
              <w:pStyle w:val="ListParagraph"/>
              <w:ind w:left="900"/>
              <w:rPr>
                <w:bCs/>
              </w:rPr>
            </w:pPr>
            <w:r w:rsidRPr="00B77D57">
              <w:rPr>
                <w:bCs/>
              </w:rPr>
              <w:t>The LOI shall provide the cause to decommission the generating plant or unit.</w:t>
            </w:r>
          </w:p>
          <w:p w14:paraId="08027896" w14:textId="77777777" w:rsidR="00A3194C" w:rsidRPr="00B77D57" w:rsidRDefault="00A3194C" w:rsidP="002334DF">
            <w:pPr>
              <w:rPr>
                <w:b/>
              </w:rPr>
            </w:pPr>
          </w:p>
        </w:tc>
        <w:tc>
          <w:tcPr>
            <w:tcW w:w="5533" w:type="dxa"/>
          </w:tcPr>
          <w:p w14:paraId="61D8D8A0" w14:textId="77777777" w:rsidR="00A3194C" w:rsidRPr="00B77D57" w:rsidRDefault="00A3194C" w:rsidP="002334DF"/>
        </w:tc>
        <w:tc>
          <w:tcPr>
            <w:tcW w:w="4820" w:type="dxa"/>
          </w:tcPr>
          <w:p w14:paraId="56FB4C90" w14:textId="77777777" w:rsidR="00A3194C" w:rsidRPr="00B77D57" w:rsidRDefault="00A3194C" w:rsidP="002334DF"/>
        </w:tc>
      </w:tr>
      <w:tr w:rsidR="00A3194C" w:rsidRPr="00B77D57" w14:paraId="6080374D" w14:textId="77777777" w:rsidTr="002334DF">
        <w:tc>
          <w:tcPr>
            <w:tcW w:w="7645" w:type="dxa"/>
          </w:tcPr>
          <w:p w14:paraId="1AB4DBEF" w14:textId="77777777" w:rsidR="00A3194C" w:rsidRPr="00B77D57" w:rsidRDefault="00A3194C" w:rsidP="002334DF">
            <w:pPr>
              <w:pStyle w:val="ListParagraph"/>
              <w:numPr>
                <w:ilvl w:val="1"/>
                <w:numId w:val="7"/>
              </w:numPr>
              <w:tabs>
                <w:tab w:val="left" w:pos="1705"/>
                <w:tab w:val="left" w:pos="2552"/>
              </w:tabs>
              <w:ind w:left="900" w:hanging="540"/>
              <w:rPr>
                <w:bCs/>
              </w:rPr>
            </w:pPr>
            <w:r w:rsidRPr="00B77D57">
              <w:rPr>
                <w:bCs/>
              </w:rPr>
              <w:t>The LOI shall be supported by the following documents:</w:t>
            </w:r>
          </w:p>
          <w:p w14:paraId="2766310D" w14:textId="77777777" w:rsidR="00A3194C" w:rsidRPr="00B77D57" w:rsidRDefault="00A3194C" w:rsidP="002334DF">
            <w:pPr>
              <w:pStyle w:val="ListParagraph"/>
              <w:tabs>
                <w:tab w:val="left" w:pos="1705"/>
                <w:tab w:val="left" w:pos="2552"/>
              </w:tabs>
              <w:ind w:left="360"/>
              <w:rPr>
                <w:b/>
                <w:i/>
                <w:iCs/>
              </w:rPr>
            </w:pPr>
          </w:p>
          <w:p w14:paraId="1674864F" w14:textId="77777777" w:rsidR="00A3194C" w:rsidRPr="00B77D57" w:rsidRDefault="00A3194C" w:rsidP="002334DF">
            <w:pPr>
              <w:pStyle w:val="ListParagraph"/>
              <w:numPr>
                <w:ilvl w:val="2"/>
                <w:numId w:val="7"/>
              </w:numPr>
              <w:ind w:left="1620"/>
              <w:rPr>
                <w:b/>
                <w:i/>
                <w:iCs/>
              </w:rPr>
            </w:pPr>
            <w:r w:rsidRPr="00B77D57">
              <w:rPr>
                <w:bCs/>
              </w:rPr>
              <w:t>The fact sheet on the generating plant or unit, attached as Annex A, which shall contain but not limited to the following information:</w:t>
            </w:r>
          </w:p>
        </w:tc>
        <w:tc>
          <w:tcPr>
            <w:tcW w:w="5533" w:type="dxa"/>
          </w:tcPr>
          <w:p w14:paraId="0F513C39" w14:textId="77777777" w:rsidR="00A3194C" w:rsidRPr="00B77D57" w:rsidRDefault="00A3194C" w:rsidP="002334DF"/>
        </w:tc>
        <w:tc>
          <w:tcPr>
            <w:tcW w:w="4820" w:type="dxa"/>
          </w:tcPr>
          <w:p w14:paraId="3A802109" w14:textId="77777777" w:rsidR="00A3194C" w:rsidRPr="00B77D57" w:rsidRDefault="00A3194C" w:rsidP="002334DF"/>
        </w:tc>
      </w:tr>
      <w:tr w:rsidR="00A3194C" w:rsidRPr="00B77D57" w14:paraId="72EC00CA" w14:textId="77777777" w:rsidTr="002334DF">
        <w:tc>
          <w:tcPr>
            <w:tcW w:w="7645" w:type="dxa"/>
          </w:tcPr>
          <w:p w14:paraId="31D6676E" w14:textId="77777777" w:rsidR="00A3194C" w:rsidRPr="00B77D57" w:rsidRDefault="00A3194C" w:rsidP="002334DF">
            <w:pPr>
              <w:pStyle w:val="ListParagraph"/>
              <w:numPr>
                <w:ilvl w:val="3"/>
                <w:numId w:val="8"/>
              </w:numPr>
              <w:tabs>
                <w:tab w:val="left" w:pos="1701"/>
              </w:tabs>
              <w:ind w:left="2587" w:hanging="990"/>
              <w:rPr>
                <w:bCs/>
              </w:rPr>
            </w:pPr>
            <w:r w:rsidRPr="00B77D57">
              <w:rPr>
                <w:bCs/>
              </w:rPr>
              <w:t xml:space="preserve">Company </w:t>
            </w:r>
            <w:proofErr w:type="gramStart"/>
            <w:r w:rsidRPr="00B77D57">
              <w:rPr>
                <w:bCs/>
              </w:rPr>
              <w:t>Name;</w:t>
            </w:r>
            <w:proofErr w:type="gramEnd"/>
          </w:p>
          <w:p w14:paraId="094AB45E" w14:textId="77777777" w:rsidR="00A3194C" w:rsidRPr="00B77D57" w:rsidRDefault="00A3194C" w:rsidP="002334DF">
            <w:pPr>
              <w:pStyle w:val="ListParagraph"/>
              <w:tabs>
                <w:tab w:val="left" w:pos="1701"/>
              </w:tabs>
              <w:ind w:left="2610" w:hanging="990"/>
              <w:rPr>
                <w:bCs/>
              </w:rPr>
            </w:pPr>
          </w:p>
          <w:p w14:paraId="11F61F9E" w14:textId="77777777" w:rsidR="00A3194C" w:rsidRPr="00B77D57" w:rsidRDefault="00A3194C" w:rsidP="002334DF">
            <w:pPr>
              <w:pStyle w:val="ListParagraph"/>
              <w:numPr>
                <w:ilvl w:val="3"/>
                <w:numId w:val="8"/>
              </w:numPr>
              <w:tabs>
                <w:tab w:val="left" w:pos="1701"/>
              </w:tabs>
              <w:ind w:left="2610" w:hanging="990"/>
              <w:rPr>
                <w:bCs/>
              </w:rPr>
            </w:pPr>
            <w:r w:rsidRPr="00B77D57">
              <w:rPr>
                <w:bCs/>
              </w:rPr>
              <w:t xml:space="preserve">Name of generating </w:t>
            </w:r>
            <w:proofErr w:type="gramStart"/>
            <w:r w:rsidRPr="00B77D57">
              <w:rPr>
                <w:bCs/>
              </w:rPr>
              <w:t>plant;</w:t>
            </w:r>
            <w:proofErr w:type="gramEnd"/>
          </w:p>
          <w:p w14:paraId="2A279CFC" w14:textId="77777777" w:rsidR="00A3194C" w:rsidRPr="00B77D57" w:rsidRDefault="00A3194C" w:rsidP="002334DF">
            <w:pPr>
              <w:pStyle w:val="ListParagraph"/>
              <w:tabs>
                <w:tab w:val="left" w:pos="1701"/>
              </w:tabs>
              <w:ind w:left="2610" w:hanging="990"/>
              <w:rPr>
                <w:bCs/>
              </w:rPr>
            </w:pPr>
          </w:p>
          <w:p w14:paraId="4CBE25F2" w14:textId="77777777" w:rsidR="00A3194C" w:rsidRPr="00B77D57" w:rsidRDefault="00A3194C" w:rsidP="002334DF">
            <w:pPr>
              <w:pStyle w:val="ListParagraph"/>
              <w:numPr>
                <w:ilvl w:val="3"/>
                <w:numId w:val="8"/>
              </w:numPr>
              <w:tabs>
                <w:tab w:val="left" w:pos="1710"/>
              </w:tabs>
              <w:ind w:left="2610" w:hanging="990"/>
              <w:rPr>
                <w:bCs/>
              </w:rPr>
            </w:pPr>
            <w:r w:rsidRPr="00B77D57">
              <w:rPr>
                <w:bCs/>
              </w:rPr>
              <w:t xml:space="preserve">Indicate the installed capacity of the generating plant or unit to be decommissioned, whichever is </w:t>
            </w:r>
            <w:proofErr w:type="gramStart"/>
            <w:r w:rsidRPr="00B77D57">
              <w:rPr>
                <w:bCs/>
              </w:rPr>
              <w:t>applicable;</w:t>
            </w:r>
            <w:proofErr w:type="gramEnd"/>
          </w:p>
          <w:p w14:paraId="35C289CF" w14:textId="77777777" w:rsidR="00A3194C" w:rsidRPr="00B77D57" w:rsidRDefault="00A3194C" w:rsidP="002334DF">
            <w:pPr>
              <w:pStyle w:val="ListParagraph"/>
              <w:tabs>
                <w:tab w:val="left" w:pos="1701"/>
              </w:tabs>
              <w:ind w:left="2610" w:hanging="990"/>
              <w:rPr>
                <w:bCs/>
              </w:rPr>
            </w:pPr>
          </w:p>
          <w:p w14:paraId="032D9C53" w14:textId="77777777" w:rsidR="00A3194C" w:rsidRPr="00B77D57" w:rsidRDefault="00A3194C" w:rsidP="002334DF">
            <w:pPr>
              <w:pStyle w:val="ListParagraph"/>
              <w:numPr>
                <w:ilvl w:val="3"/>
                <w:numId w:val="8"/>
              </w:numPr>
              <w:tabs>
                <w:tab w:val="left" w:pos="1701"/>
              </w:tabs>
              <w:ind w:left="2610" w:hanging="990"/>
              <w:rPr>
                <w:bCs/>
              </w:rPr>
            </w:pPr>
            <w:r w:rsidRPr="00B77D57">
              <w:rPr>
                <w:bCs/>
              </w:rPr>
              <w:t xml:space="preserve">Location of the generating plant or unit to be </w:t>
            </w:r>
            <w:proofErr w:type="gramStart"/>
            <w:r w:rsidRPr="00B77D57">
              <w:rPr>
                <w:bCs/>
              </w:rPr>
              <w:t>decommissioned;</w:t>
            </w:r>
            <w:proofErr w:type="gramEnd"/>
          </w:p>
          <w:p w14:paraId="07D2D2A1" w14:textId="77777777" w:rsidR="00A3194C" w:rsidRPr="00B77D57" w:rsidRDefault="00A3194C" w:rsidP="002334DF">
            <w:pPr>
              <w:pStyle w:val="ListParagraph"/>
              <w:tabs>
                <w:tab w:val="left" w:pos="1701"/>
              </w:tabs>
              <w:ind w:left="2610" w:hanging="990"/>
              <w:rPr>
                <w:bCs/>
              </w:rPr>
            </w:pPr>
          </w:p>
          <w:p w14:paraId="3DE71FFD" w14:textId="77777777" w:rsidR="00A3194C" w:rsidRPr="00B77D57" w:rsidRDefault="00A3194C" w:rsidP="002334DF">
            <w:pPr>
              <w:pStyle w:val="ListParagraph"/>
              <w:numPr>
                <w:ilvl w:val="3"/>
                <w:numId w:val="8"/>
              </w:numPr>
              <w:tabs>
                <w:tab w:val="left" w:pos="1710"/>
              </w:tabs>
              <w:ind w:left="2610" w:hanging="990"/>
              <w:rPr>
                <w:bCs/>
              </w:rPr>
            </w:pPr>
            <w:r w:rsidRPr="00B77D57">
              <w:rPr>
                <w:bCs/>
              </w:rPr>
              <w:t xml:space="preserve">Commercial operation date of the generating plant or </w:t>
            </w:r>
            <w:proofErr w:type="gramStart"/>
            <w:r w:rsidRPr="00B77D57">
              <w:rPr>
                <w:bCs/>
              </w:rPr>
              <w:t>unit;</w:t>
            </w:r>
            <w:proofErr w:type="gramEnd"/>
          </w:p>
          <w:p w14:paraId="66C311E7" w14:textId="77777777" w:rsidR="00A3194C" w:rsidRPr="00B77D57" w:rsidRDefault="00A3194C" w:rsidP="002334DF">
            <w:pPr>
              <w:pStyle w:val="ListParagraph"/>
              <w:tabs>
                <w:tab w:val="left" w:pos="1710"/>
              </w:tabs>
              <w:ind w:left="2610" w:hanging="990"/>
              <w:rPr>
                <w:bCs/>
              </w:rPr>
            </w:pPr>
          </w:p>
          <w:p w14:paraId="6492B623" w14:textId="77777777" w:rsidR="00A3194C" w:rsidRPr="00B77D57" w:rsidRDefault="00A3194C" w:rsidP="002334DF">
            <w:pPr>
              <w:pStyle w:val="ListParagraph"/>
              <w:numPr>
                <w:ilvl w:val="3"/>
                <w:numId w:val="8"/>
              </w:numPr>
              <w:tabs>
                <w:tab w:val="left" w:pos="1710"/>
              </w:tabs>
              <w:ind w:left="2610" w:hanging="990"/>
              <w:rPr>
                <w:bCs/>
              </w:rPr>
            </w:pPr>
            <w:r w:rsidRPr="00B77D57">
              <w:rPr>
                <w:bCs/>
              </w:rPr>
              <w:t>Off-taker; and</w:t>
            </w:r>
          </w:p>
          <w:p w14:paraId="6B625A24" w14:textId="77777777" w:rsidR="00A3194C" w:rsidRPr="00B77D57" w:rsidRDefault="00A3194C" w:rsidP="002334DF">
            <w:pPr>
              <w:pStyle w:val="ListParagraph"/>
              <w:rPr>
                <w:bCs/>
              </w:rPr>
            </w:pPr>
          </w:p>
          <w:p w14:paraId="372919D4" w14:textId="77777777" w:rsidR="00A3194C" w:rsidRPr="00B77D57" w:rsidRDefault="00A3194C" w:rsidP="002334DF">
            <w:pPr>
              <w:pStyle w:val="ListParagraph"/>
              <w:numPr>
                <w:ilvl w:val="3"/>
                <w:numId w:val="8"/>
              </w:numPr>
              <w:tabs>
                <w:tab w:val="left" w:pos="1710"/>
              </w:tabs>
              <w:ind w:left="2610" w:hanging="990"/>
              <w:rPr>
                <w:bCs/>
              </w:rPr>
            </w:pPr>
            <w:r w:rsidRPr="00B77D57">
              <w:rPr>
                <w:bCs/>
              </w:rPr>
              <w:t>Target date of decommissioning.</w:t>
            </w:r>
          </w:p>
        </w:tc>
        <w:tc>
          <w:tcPr>
            <w:tcW w:w="5533" w:type="dxa"/>
          </w:tcPr>
          <w:p w14:paraId="3ED0B282" w14:textId="77777777" w:rsidR="00A3194C" w:rsidRPr="00B77D57" w:rsidRDefault="00A3194C" w:rsidP="002334DF"/>
        </w:tc>
        <w:tc>
          <w:tcPr>
            <w:tcW w:w="4820" w:type="dxa"/>
          </w:tcPr>
          <w:p w14:paraId="675CEC8E" w14:textId="77777777" w:rsidR="00A3194C" w:rsidRPr="00B77D57" w:rsidRDefault="00A3194C" w:rsidP="002334DF"/>
        </w:tc>
      </w:tr>
      <w:tr w:rsidR="00A3194C" w:rsidRPr="00B77D57" w14:paraId="0A34D9A3" w14:textId="77777777" w:rsidTr="002334DF">
        <w:tc>
          <w:tcPr>
            <w:tcW w:w="7645" w:type="dxa"/>
          </w:tcPr>
          <w:p w14:paraId="62E7333A" w14:textId="77777777" w:rsidR="00A3194C" w:rsidRPr="00B77D57" w:rsidRDefault="00A3194C" w:rsidP="002334DF">
            <w:pPr>
              <w:pStyle w:val="ListParagraph"/>
              <w:numPr>
                <w:ilvl w:val="2"/>
                <w:numId w:val="7"/>
              </w:numPr>
              <w:tabs>
                <w:tab w:val="left" w:pos="1705"/>
                <w:tab w:val="left" w:pos="2127"/>
              </w:tabs>
              <w:ind w:left="1710" w:hanging="810"/>
              <w:rPr>
                <w:bCs/>
              </w:rPr>
            </w:pPr>
            <w:r w:rsidRPr="00B77D57">
              <w:rPr>
                <w:bCs/>
              </w:rPr>
              <w:t xml:space="preserve">Notarized Board Resolution or any equivalent document supporting the request for decommissioning; </w:t>
            </w:r>
          </w:p>
        </w:tc>
        <w:tc>
          <w:tcPr>
            <w:tcW w:w="5533" w:type="dxa"/>
          </w:tcPr>
          <w:p w14:paraId="5AA51CFF" w14:textId="77777777" w:rsidR="00A3194C" w:rsidRPr="00B77D57" w:rsidRDefault="00A3194C" w:rsidP="002334DF"/>
        </w:tc>
        <w:tc>
          <w:tcPr>
            <w:tcW w:w="4820" w:type="dxa"/>
          </w:tcPr>
          <w:p w14:paraId="0B56562E" w14:textId="77777777" w:rsidR="00A3194C" w:rsidRPr="00B77D57" w:rsidRDefault="00A3194C" w:rsidP="002334DF"/>
        </w:tc>
      </w:tr>
      <w:tr w:rsidR="00A3194C" w:rsidRPr="00B77D57" w14:paraId="468B2EDC" w14:textId="77777777" w:rsidTr="002334DF">
        <w:tc>
          <w:tcPr>
            <w:tcW w:w="7645" w:type="dxa"/>
          </w:tcPr>
          <w:p w14:paraId="288DFB29" w14:textId="77777777" w:rsidR="00A3194C" w:rsidRPr="00B77D57" w:rsidRDefault="00A3194C" w:rsidP="002334DF">
            <w:pPr>
              <w:pStyle w:val="ListParagraph"/>
              <w:numPr>
                <w:ilvl w:val="2"/>
                <w:numId w:val="7"/>
              </w:numPr>
              <w:tabs>
                <w:tab w:val="left" w:pos="1705"/>
                <w:tab w:val="left" w:pos="2127"/>
              </w:tabs>
              <w:ind w:left="1710" w:hanging="810"/>
              <w:rPr>
                <w:bCs/>
              </w:rPr>
            </w:pPr>
            <w:r w:rsidRPr="00B77D57">
              <w:rPr>
                <w:bCs/>
              </w:rPr>
              <w:t xml:space="preserve">Acknowledgement letter of the applicant’s LOI from the various agencies such as the Board of Investments (BOI), NGCP or local DUs (for embedded generating </w:t>
            </w:r>
            <w:r w:rsidRPr="00B77D57">
              <w:rPr>
                <w:bCs/>
              </w:rPr>
              <w:lastRenderedPageBreak/>
              <w:t>facilities), Philippine Electricity Market Corporation (PEMC), Independent Electricity Market Operator of the Philippines (IEMOP), and ERC; and</w:t>
            </w:r>
          </w:p>
        </w:tc>
        <w:tc>
          <w:tcPr>
            <w:tcW w:w="5533" w:type="dxa"/>
          </w:tcPr>
          <w:p w14:paraId="69E92F88" w14:textId="77777777" w:rsidR="00A3194C" w:rsidRPr="00B77D57" w:rsidRDefault="00A3194C" w:rsidP="002334DF"/>
        </w:tc>
        <w:tc>
          <w:tcPr>
            <w:tcW w:w="4820" w:type="dxa"/>
          </w:tcPr>
          <w:p w14:paraId="31D153DE" w14:textId="77777777" w:rsidR="00A3194C" w:rsidRPr="00B77D57" w:rsidRDefault="00A3194C" w:rsidP="002334DF"/>
        </w:tc>
      </w:tr>
      <w:tr w:rsidR="00A3194C" w:rsidRPr="00B77D57" w14:paraId="155F4351" w14:textId="77777777" w:rsidTr="002334DF">
        <w:tc>
          <w:tcPr>
            <w:tcW w:w="7645" w:type="dxa"/>
          </w:tcPr>
          <w:p w14:paraId="64918523" w14:textId="77777777" w:rsidR="00A3194C" w:rsidRPr="00B77D57" w:rsidRDefault="00A3194C" w:rsidP="002334DF">
            <w:pPr>
              <w:pStyle w:val="ListParagraph"/>
              <w:numPr>
                <w:ilvl w:val="2"/>
                <w:numId w:val="7"/>
              </w:numPr>
              <w:tabs>
                <w:tab w:val="left" w:pos="1705"/>
                <w:tab w:val="left" w:pos="2127"/>
              </w:tabs>
              <w:ind w:left="1710" w:hanging="810"/>
              <w:rPr>
                <w:bCs/>
              </w:rPr>
            </w:pPr>
            <w:r w:rsidRPr="00B77D57">
              <w:rPr>
                <w:bCs/>
              </w:rPr>
              <w:t>Letter of no objection from DENR regarding the plan to decommission a generating plant or unit.</w:t>
            </w:r>
          </w:p>
        </w:tc>
        <w:tc>
          <w:tcPr>
            <w:tcW w:w="5533" w:type="dxa"/>
          </w:tcPr>
          <w:p w14:paraId="3DAD7A0A" w14:textId="77777777" w:rsidR="00A3194C" w:rsidRPr="00B77D57" w:rsidRDefault="00A3194C" w:rsidP="002334DF"/>
        </w:tc>
        <w:tc>
          <w:tcPr>
            <w:tcW w:w="4820" w:type="dxa"/>
          </w:tcPr>
          <w:p w14:paraId="432FA1CE" w14:textId="77777777" w:rsidR="00A3194C" w:rsidRPr="00B77D57" w:rsidRDefault="00A3194C" w:rsidP="002334DF"/>
        </w:tc>
      </w:tr>
      <w:tr w:rsidR="00A3194C" w:rsidRPr="00B77D57" w14:paraId="1BCE6EB0" w14:textId="77777777" w:rsidTr="002334DF">
        <w:tc>
          <w:tcPr>
            <w:tcW w:w="7645" w:type="dxa"/>
          </w:tcPr>
          <w:p w14:paraId="02A627FC" w14:textId="77777777" w:rsidR="00A3194C" w:rsidRPr="00B77D57" w:rsidRDefault="00A3194C" w:rsidP="002334DF">
            <w:pPr>
              <w:pStyle w:val="ListParagraph"/>
              <w:numPr>
                <w:ilvl w:val="1"/>
                <w:numId w:val="7"/>
              </w:numPr>
              <w:ind w:left="900" w:hanging="540"/>
            </w:pPr>
            <w:r w:rsidRPr="00B77D57">
              <w:rPr>
                <w:bCs/>
              </w:rPr>
              <w:t>The DOE shall check the completeness of the applicant’s submitted requirements and shall notify the applicant within three (3) working days of the status of its application to decommission a generating plant or unit.</w:t>
            </w:r>
          </w:p>
          <w:p w14:paraId="3B58B2CF" w14:textId="77777777" w:rsidR="00A3194C" w:rsidRPr="00B77D57" w:rsidRDefault="00A3194C" w:rsidP="002334DF">
            <w:pPr>
              <w:pStyle w:val="ListParagraph"/>
              <w:ind w:left="900"/>
              <w:rPr>
                <w:bCs/>
              </w:rPr>
            </w:pPr>
          </w:p>
          <w:p w14:paraId="54D074E2" w14:textId="77777777" w:rsidR="00A3194C" w:rsidRPr="00B77D57" w:rsidRDefault="00A3194C" w:rsidP="002334DF">
            <w:pPr>
              <w:pStyle w:val="ListParagraph"/>
              <w:ind w:left="900"/>
            </w:pPr>
            <w:r w:rsidRPr="00B77D57">
              <w:t>The applicant shall have two (2) months to complete the necessary requirements after the DOE notification. Failure to comply within the prescribed period shall render the LOI invalid and void, and the generating plant or unit shall continue to be governed by existing rules and regulations subject to imposition of sanctions and penalties.</w:t>
            </w:r>
          </w:p>
        </w:tc>
        <w:tc>
          <w:tcPr>
            <w:tcW w:w="5533" w:type="dxa"/>
          </w:tcPr>
          <w:p w14:paraId="5C20F018" w14:textId="77777777" w:rsidR="00A3194C" w:rsidRPr="00B77D57" w:rsidRDefault="00A3194C" w:rsidP="002334DF"/>
        </w:tc>
        <w:tc>
          <w:tcPr>
            <w:tcW w:w="4820" w:type="dxa"/>
          </w:tcPr>
          <w:p w14:paraId="76A7BB6E" w14:textId="77777777" w:rsidR="00A3194C" w:rsidRPr="00B77D57" w:rsidRDefault="00A3194C" w:rsidP="002334DF"/>
        </w:tc>
      </w:tr>
      <w:tr w:rsidR="00A3194C" w:rsidRPr="00B77D57" w14:paraId="0957DCBD" w14:textId="77777777" w:rsidTr="002334DF">
        <w:tc>
          <w:tcPr>
            <w:tcW w:w="7645" w:type="dxa"/>
          </w:tcPr>
          <w:p w14:paraId="59791600" w14:textId="77777777" w:rsidR="00A3194C" w:rsidRPr="00B77D57" w:rsidRDefault="00A3194C" w:rsidP="002334DF">
            <w:pPr>
              <w:pStyle w:val="ListParagraph"/>
              <w:numPr>
                <w:ilvl w:val="1"/>
                <w:numId w:val="7"/>
              </w:numPr>
              <w:ind w:left="900" w:hanging="540"/>
            </w:pPr>
            <w:r w:rsidRPr="00B77D57">
              <w:rPr>
                <w:bCs/>
              </w:rPr>
              <w:t xml:space="preserve">The DOE shall evaluate the application for decommissioning of the generating plant or unit being applied for, in consideration of the impact on the power system. </w:t>
            </w:r>
          </w:p>
        </w:tc>
        <w:tc>
          <w:tcPr>
            <w:tcW w:w="5533" w:type="dxa"/>
          </w:tcPr>
          <w:p w14:paraId="154DE375" w14:textId="77777777" w:rsidR="00A3194C" w:rsidRPr="00B77D57" w:rsidRDefault="00A3194C" w:rsidP="002334DF"/>
        </w:tc>
        <w:tc>
          <w:tcPr>
            <w:tcW w:w="4820" w:type="dxa"/>
          </w:tcPr>
          <w:p w14:paraId="681BB0BB" w14:textId="77777777" w:rsidR="00A3194C" w:rsidRPr="00B77D57" w:rsidRDefault="00A3194C" w:rsidP="002334DF"/>
        </w:tc>
      </w:tr>
      <w:tr w:rsidR="00A3194C" w:rsidRPr="00B77D57" w14:paraId="7C0F242E" w14:textId="77777777" w:rsidTr="002334DF">
        <w:tc>
          <w:tcPr>
            <w:tcW w:w="7645" w:type="dxa"/>
          </w:tcPr>
          <w:p w14:paraId="0ABBFA3B" w14:textId="77777777" w:rsidR="00A3194C" w:rsidRPr="00B77D57" w:rsidRDefault="00A3194C" w:rsidP="002334DF">
            <w:pPr>
              <w:pStyle w:val="ListParagraph"/>
              <w:numPr>
                <w:ilvl w:val="1"/>
                <w:numId w:val="7"/>
              </w:numPr>
              <w:ind w:left="900" w:hanging="540"/>
              <w:rPr>
                <w:b/>
                <w:i/>
                <w:iCs/>
              </w:rPr>
            </w:pPr>
            <w:r w:rsidRPr="00B77D57">
              <w:rPr>
                <w:bCs/>
              </w:rPr>
              <w:t xml:space="preserve">The DOE shall issue the Letter of Confirmation (LOC) within sixty (60) calendar days upon receipt of the complete documentary requirements as provided in Section 4.2 of this Circular. Provided that the issuance of LOC shall not preclude the ERC from exercising authority over anti-competitive behaviors of </w:t>
            </w:r>
            <w:proofErr w:type="spellStart"/>
            <w:r w:rsidRPr="00B77D57">
              <w:rPr>
                <w:bCs/>
              </w:rPr>
              <w:t>GenCos</w:t>
            </w:r>
            <w:proofErr w:type="spellEnd"/>
            <w:r w:rsidRPr="00B77D57">
              <w:rPr>
                <w:bCs/>
              </w:rPr>
              <w:t>.</w:t>
            </w:r>
          </w:p>
        </w:tc>
        <w:tc>
          <w:tcPr>
            <w:tcW w:w="5533" w:type="dxa"/>
          </w:tcPr>
          <w:p w14:paraId="687B6C6B" w14:textId="77777777" w:rsidR="00A3194C" w:rsidRPr="00B77D57" w:rsidRDefault="00A3194C" w:rsidP="002334DF"/>
        </w:tc>
        <w:tc>
          <w:tcPr>
            <w:tcW w:w="4820" w:type="dxa"/>
          </w:tcPr>
          <w:p w14:paraId="61FB2D8B" w14:textId="77777777" w:rsidR="00A3194C" w:rsidRPr="00B77D57" w:rsidRDefault="00A3194C" w:rsidP="002334DF"/>
        </w:tc>
      </w:tr>
      <w:tr w:rsidR="00A3194C" w:rsidRPr="00B77D57" w14:paraId="007A14BD" w14:textId="77777777" w:rsidTr="002334DF">
        <w:tc>
          <w:tcPr>
            <w:tcW w:w="7645" w:type="dxa"/>
          </w:tcPr>
          <w:p w14:paraId="6BEBEE1F" w14:textId="77777777" w:rsidR="00A3194C" w:rsidRPr="00B77D57" w:rsidRDefault="00A3194C" w:rsidP="002334DF">
            <w:pPr>
              <w:pStyle w:val="ListParagraph"/>
              <w:numPr>
                <w:ilvl w:val="1"/>
                <w:numId w:val="7"/>
              </w:numPr>
              <w:ind w:left="900" w:hanging="540"/>
              <w:rPr>
                <w:bCs/>
              </w:rPr>
            </w:pPr>
            <w:r w:rsidRPr="00B77D57">
              <w:rPr>
                <w:bCs/>
              </w:rPr>
              <w:t>The applicant shall notify the DOE of any changes to its plan to decommission.</w:t>
            </w:r>
          </w:p>
        </w:tc>
        <w:tc>
          <w:tcPr>
            <w:tcW w:w="5533" w:type="dxa"/>
          </w:tcPr>
          <w:p w14:paraId="551B0D60" w14:textId="77777777" w:rsidR="00A3194C" w:rsidRPr="00B77D57" w:rsidRDefault="00A3194C" w:rsidP="002334DF"/>
        </w:tc>
        <w:tc>
          <w:tcPr>
            <w:tcW w:w="4820" w:type="dxa"/>
          </w:tcPr>
          <w:p w14:paraId="09DD0E4B" w14:textId="77777777" w:rsidR="00A3194C" w:rsidRPr="00B77D57" w:rsidRDefault="00A3194C" w:rsidP="002334DF"/>
        </w:tc>
      </w:tr>
      <w:tr w:rsidR="00A3194C" w:rsidRPr="00B77D57" w14:paraId="1765F420" w14:textId="77777777" w:rsidTr="002334DF">
        <w:tc>
          <w:tcPr>
            <w:tcW w:w="7645" w:type="dxa"/>
          </w:tcPr>
          <w:p w14:paraId="667A40B1" w14:textId="77777777" w:rsidR="00A3194C" w:rsidRPr="00B77D57" w:rsidRDefault="00A3194C" w:rsidP="002334DF">
            <w:pPr>
              <w:pStyle w:val="ListParagraph"/>
              <w:numPr>
                <w:ilvl w:val="0"/>
                <w:numId w:val="6"/>
              </w:numPr>
              <w:ind w:left="540"/>
              <w:rPr>
                <w:b/>
              </w:rPr>
            </w:pPr>
            <w:r w:rsidRPr="00B77D57">
              <w:rPr>
                <w:b/>
              </w:rPr>
              <w:t>MOTHBALLING</w:t>
            </w:r>
          </w:p>
          <w:p w14:paraId="7B10C2AE" w14:textId="77777777" w:rsidR="00A3194C" w:rsidRPr="00B77D57" w:rsidRDefault="00A3194C" w:rsidP="002334DF">
            <w:pPr>
              <w:pStyle w:val="ListParagraph"/>
              <w:rPr>
                <w:b/>
              </w:rPr>
            </w:pPr>
          </w:p>
          <w:p w14:paraId="4D098698" w14:textId="77777777" w:rsidR="00A3194C" w:rsidRPr="00B77D57" w:rsidRDefault="00A3194C" w:rsidP="002334DF">
            <w:pPr>
              <w:pStyle w:val="ListParagraph"/>
              <w:numPr>
                <w:ilvl w:val="1"/>
                <w:numId w:val="7"/>
              </w:numPr>
              <w:ind w:left="900" w:hanging="540"/>
              <w:rPr>
                <w:bCs/>
              </w:rPr>
            </w:pPr>
            <w:r w:rsidRPr="00B77D57">
              <w:rPr>
                <w:bCs/>
              </w:rPr>
              <w:t>The process of mothballing begins with the formal submission of LOI to the DOE and ends when operations of the generating plant or unit completely ceases.</w:t>
            </w:r>
          </w:p>
          <w:p w14:paraId="017D58F4" w14:textId="77777777" w:rsidR="00A3194C" w:rsidRPr="00B77D57" w:rsidRDefault="00A3194C" w:rsidP="002334DF">
            <w:pPr>
              <w:pStyle w:val="ListParagraph"/>
              <w:ind w:left="900"/>
              <w:rPr>
                <w:bCs/>
              </w:rPr>
            </w:pPr>
          </w:p>
          <w:p w14:paraId="40CA330D" w14:textId="77777777" w:rsidR="00A3194C" w:rsidRPr="00B77D57" w:rsidRDefault="00A3194C" w:rsidP="002334DF">
            <w:pPr>
              <w:pStyle w:val="ListParagraph"/>
              <w:ind w:left="900"/>
              <w:rPr>
                <w:bCs/>
              </w:rPr>
            </w:pPr>
            <w:r w:rsidRPr="00B77D57">
              <w:rPr>
                <w:bCs/>
              </w:rPr>
              <w:lastRenderedPageBreak/>
              <w:t>The applicant shall notify the DOE in writing of its intent to mothball its generating plant or unit six (6) months prior to the target mothballing date, copy furnished the relevant agencies.</w:t>
            </w:r>
          </w:p>
          <w:p w14:paraId="28154C39" w14:textId="77777777" w:rsidR="00A3194C" w:rsidRPr="00B77D57" w:rsidRDefault="00A3194C" w:rsidP="002334DF">
            <w:pPr>
              <w:pStyle w:val="ListParagraph"/>
              <w:ind w:left="900"/>
              <w:rPr>
                <w:bCs/>
              </w:rPr>
            </w:pPr>
          </w:p>
          <w:p w14:paraId="5419E51F" w14:textId="77777777" w:rsidR="00A3194C" w:rsidRPr="00B77D57" w:rsidRDefault="00A3194C" w:rsidP="002334DF">
            <w:pPr>
              <w:pStyle w:val="ListParagraph"/>
              <w:ind w:left="900"/>
              <w:rPr>
                <w:bCs/>
              </w:rPr>
            </w:pPr>
            <w:r w:rsidRPr="00B77D57">
              <w:rPr>
                <w:bCs/>
              </w:rPr>
              <w:t>The LOI shall provide the cause to mothball the generating plant or unit.</w:t>
            </w:r>
          </w:p>
        </w:tc>
        <w:tc>
          <w:tcPr>
            <w:tcW w:w="5533" w:type="dxa"/>
          </w:tcPr>
          <w:p w14:paraId="0077BBDE" w14:textId="77777777" w:rsidR="00A3194C" w:rsidRPr="00B77D57" w:rsidRDefault="00A3194C" w:rsidP="002334DF"/>
        </w:tc>
        <w:tc>
          <w:tcPr>
            <w:tcW w:w="4820" w:type="dxa"/>
          </w:tcPr>
          <w:p w14:paraId="0C6EF2D1" w14:textId="77777777" w:rsidR="00A3194C" w:rsidRPr="00B77D57" w:rsidRDefault="00A3194C" w:rsidP="002334DF"/>
        </w:tc>
      </w:tr>
      <w:tr w:rsidR="00A3194C" w:rsidRPr="00B77D57" w14:paraId="2D947014" w14:textId="77777777" w:rsidTr="002334DF">
        <w:tc>
          <w:tcPr>
            <w:tcW w:w="7645" w:type="dxa"/>
          </w:tcPr>
          <w:p w14:paraId="3D533772" w14:textId="77777777" w:rsidR="00A3194C" w:rsidRPr="00B77D57" w:rsidRDefault="00A3194C" w:rsidP="002334DF">
            <w:pPr>
              <w:pStyle w:val="ListParagraph"/>
              <w:numPr>
                <w:ilvl w:val="1"/>
                <w:numId w:val="7"/>
              </w:numPr>
              <w:ind w:left="900" w:hanging="540"/>
              <w:rPr>
                <w:b/>
              </w:rPr>
            </w:pPr>
            <w:r w:rsidRPr="00B77D57">
              <w:rPr>
                <w:bCs/>
              </w:rPr>
              <w:t>The LOI shall be supported by the following documents:</w:t>
            </w:r>
          </w:p>
          <w:p w14:paraId="3C82DB01" w14:textId="77777777" w:rsidR="00A3194C" w:rsidRPr="00B77D57" w:rsidRDefault="00A3194C" w:rsidP="002334DF">
            <w:pPr>
              <w:pStyle w:val="ListParagraph"/>
              <w:ind w:left="900"/>
              <w:rPr>
                <w:b/>
              </w:rPr>
            </w:pPr>
          </w:p>
          <w:p w14:paraId="03189B92" w14:textId="77777777" w:rsidR="00A3194C" w:rsidRPr="00B77D57" w:rsidRDefault="00A3194C" w:rsidP="002334DF">
            <w:pPr>
              <w:pStyle w:val="ListParagraph"/>
              <w:numPr>
                <w:ilvl w:val="2"/>
                <w:numId w:val="7"/>
              </w:numPr>
              <w:ind w:left="1620"/>
              <w:rPr>
                <w:bCs/>
              </w:rPr>
            </w:pPr>
            <w:r w:rsidRPr="00B77D57">
              <w:rPr>
                <w:bCs/>
              </w:rPr>
              <w:t>A fact sheet on a generating plant or unit, attached as Annex B, which shall contain the following information:</w:t>
            </w:r>
          </w:p>
        </w:tc>
        <w:tc>
          <w:tcPr>
            <w:tcW w:w="5533" w:type="dxa"/>
          </w:tcPr>
          <w:p w14:paraId="6214DA39" w14:textId="77777777" w:rsidR="00A3194C" w:rsidRPr="00B77D57" w:rsidRDefault="00A3194C" w:rsidP="002334DF"/>
        </w:tc>
        <w:tc>
          <w:tcPr>
            <w:tcW w:w="4820" w:type="dxa"/>
          </w:tcPr>
          <w:p w14:paraId="5504A0AA" w14:textId="77777777" w:rsidR="00A3194C" w:rsidRPr="00B77D57" w:rsidRDefault="00A3194C" w:rsidP="002334DF"/>
        </w:tc>
      </w:tr>
      <w:tr w:rsidR="00A3194C" w:rsidRPr="00B77D57" w14:paraId="27AC46DA" w14:textId="77777777" w:rsidTr="002334DF">
        <w:tc>
          <w:tcPr>
            <w:tcW w:w="7645" w:type="dxa"/>
          </w:tcPr>
          <w:p w14:paraId="329C6C55" w14:textId="77777777" w:rsidR="00A3194C" w:rsidRPr="00B77D57" w:rsidRDefault="00A3194C" w:rsidP="002334DF">
            <w:pPr>
              <w:pStyle w:val="ListParagraph"/>
              <w:numPr>
                <w:ilvl w:val="3"/>
                <w:numId w:val="9"/>
              </w:numPr>
              <w:ind w:left="2766" w:hanging="1146"/>
              <w:rPr>
                <w:b/>
                <w:i/>
                <w:iCs/>
              </w:rPr>
            </w:pPr>
            <w:r w:rsidRPr="00B77D57">
              <w:rPr>
                <w:bCs/>
              </w:rPr>
              <w:t xml:space="preserve">Company </w:t>
            </w:r>
            <w:proofErr w:type="gramStart"/>
            <w:r w:rsidRPr="00B77D57">
              <w:rPr>
                <w:bCs/>
              </w:rPr>
              <w:t>Name;</w:t>
            </w:r>
            <w:proofErr w:type="gramEnd"/>
          </w:p>
          <w:p w14:paraId="35F4D424" w14:textId="77777777" w:rsidR="00A3194C" w:rsidRPr="00B77D57" w:rsidRDefault="00A3194C" w:rsidP="002334DF">
            <w:pPr>
              <w:pStyle w:val="ListParagraph"/>
              <w:ind w:left="2766" w:hanging="1146"/>
              <w:rPr>
                <w:b/>
                <w:i/>
                <w:iCs/>
              </w:rPr>
            </w:pPr>
          </w:p>
          <w:p w14:paraId="0C7B4C10" w14:textId="77777777" w:rsidR="00A3194C" w:rsidRPr="00B77D57" w:rsidRDefault="00A3194C" w:rsidP="002334DF">
            <w:pPr>
              <w:pStyle w:val="ListParagraph"/>
              <w:numPr>
                <w:ilvl w:val="3"/>
                <w:numId w:val="9"/>
              </w:numPr>
              <w:ind w:left="2766" w:hanging="1146"/>
              <w:rPr>
                <w:bCs/>
              </w:rPr>
            </w:pPr>
            <w:r w:rsidRPr="00B77D57">
              <w:rPr>
                <w:bCs/>
              </w:rPr>
              <w:t xml:space="preserve">Name of generating </w:t>
            </w:r>
            <w:proofErr w:type="gramStart"/>
            <w:r w:rsidRPr="00B77D57">
              <w:rPr>
                <w:bCs/>
              </w:rPr>
              <w:t>plant;</w:t>
            </w:r>
            <w:proofErr w:type="gramEnd"/>
          </w:p>
          <w:p w14:paraId="7121B343" w14:textId="77777777" w:rsidR="00A3194C" w:rsidRPr="00B77D57" w:rsidRDefault="00A3194C" w:rsidP="002334DF">
            <w:pPr>
              <w:pStyle w:val="ListParagraph"/>
              <w:ind w:left="2766" w:hanging="1146"/>
              <w:jc w:val="left"/>
              <w:rPr>
                <w:bCs/>
              </w:rPr>
            </w:pPr>
          </w:p>
          <w:p w14:paraId="34E70D0C" w14:textId="77777777" w:rsidR="00A3194C" w:rsidRPr="00B77D57" w:rsidRDefault="00A3194C" w:rsidP="002334DF">
            <w:pPr>
              <w:pStyle w:val="ListParagraph"/>
              <w:numPr>
                <w:ilvl w:val="3"/>
                <w:numId w:val="9"/>
              </w:numPr>
              <w:ind w:left="2766" w:hanging="1146"/>
              <w:rPr>
                <w:bCs/>
              </w:rPr>
            </w:pPr>
            <w:r w:rsidRPr="00B77D57">
              <w:rPr>
                <w:bCs/>
              </w:rPr>
              <w:t xml:space="preserve">Indicate the installed capacity of the generating plant or unit to be decommissioned, whichever is </w:t>
            </w:r>
            <w:proofErr w:type="gramStart"/>
            <w:r w:rsidRPr="00B77D57">
              <w:rPr>
                <w:bCs/>
              </w:rPr>
              <w:t>applicable;</w:t>
            </w:r>
            <w:proofErr w:type="gramEnd"/>
          </w:p>
          <w:p w14:paraId="1EEC5B01" w14:textId="77777777" w:rsidR="00A3194C" w:rsidRPr="00B77D57" w:rsidRDefault="00A3194C" w:rsidP="002334DF">
            <w:pPr>
              <w:pStyle w:val="ListParagraph"/>
              <w:ind w:left="2766" w:hanging="1146"/>
              <w:jc w:val="left"/>
              <w:rPr>
                <w:bCs/>
              </w:rPr>
            </w:pPr>
          </w:p>
          <w:p w14:paraId="6C6C0070" w14:textId="77777777" w:rsidR="00A3194C" w:rsidRPr="00B77D57" w:rsidRDefault="00A3194C" w:rsidP="002334DF">
            <w:pPr>
              <w:pStyle w:val="ListParagraph"/>
              <w:numPr>
                <w:ilvl w:val="3"/>
                <w:numId w:val="9"/>
              </w:numPr>
              <w:ind w:left="2766" w:hanging="1146"/>
              <w:rPr>
                <w:bCs/>
              </w:rPr>
            </w:pPr>
            <w:r w:rsidRPr="00B77D57">
              <w:rPr>
                <w:bCs/>
              </w:rPr>
              <w:t xml:space="preserve">Location of the generating plant or unit to be </w:t>
            </w:r>
            <w:proofErr w:type="gramStart"/>
            <w:r w:rsidRPr="00B77D57">
              <w:rPr>
                <w:bCs/>
              </w:rPr>
              <w:t>mothballed;</w:t>
            </w:r>
            <w:proofErr w:type="gramEnd"/>
          </w:p>
          <w:p w14:paraId="0659C90B" w14:textId="77777777" w:rsidR="00A3194C" w:rsidRPr="00B77D57" w:rsidRDefault="00A3194C" w:rsidP="002334DF">
            <w:pPr>
              <w:pStyle w:val="ListParagraph"/>
              <w:ind w:left="2766" w:hanging="1146"/>
              <w:jc w:val="left"/>
              <w:rPr>
                <w:bCs/>
              </w:rPr>
            </w:pPr>
          </w:p>
          <w:p w14:paraId="3D826451" w14:textId="77777777" w:rsidR="00A3194C" w:rsidRPr="00B77D57" w:rsidRDefault="00A3194C" w:rsidP="002334DF">
            <w:pPr>
              <w:pStyle w:val="ListParagraph"/>
              <w:numPr>
                <w:ilvl w:val="3"/>
                <w:numId w:val="9"/>
              </w:numPr>
              <w:ind w:left="2766" w:hanging="1146"/>
              <w:rPr>
                <w:bCs/>
              </w:rPr>
            </w:pPr>
            <w:r w:rsidRPr="00B77D57">
              <w:rPr>
                <w:bCs/>
              </w:rPr>
              <w:t xml:space="preserve">Commercial operation date of the generating plant or </w:t>
            </w:r>
            <w:proofErr w:type="gramStart"/>
            <w:r w:rsidRPr="00B77D57">
              <w:rPr>
                <w:bCs/>
              </w:rPr>
              <w:t>unit;</w:t>
            </w:r>
            <w:proofErr w:type="gramEnd"/>
            <w:r w:rsidRPr="00B77D57" w:rsidDel="00D615C2">
              <w:rPr>
                <w:bCs/>
              </w:rPr>
              <w:t xml:space="preserve"> </w:t>
            </w:r>
          </w:p>
          <w:p w14:paraId="4E4F4F8A" w14:textId="77777777" w:rsidR="00A3194C" w:rsidRPr="00B77D57" w:rsidRDefault="00A3194C" w:rsidP="002334DF">
            <w:pPr>
              <w:pStyle w:val="ListParagraph"/>
              <w:ind w:left="2766" w:hanging="1146"/>
              <w:rPr>
                <w:bCs/>
              </w:rPr>
            </w:pPr>
          </w:p>
          <w:p w14:paraId="53AB5259" w14:textId="77777777" w:rsidR="00A3194C" w:rsidRPr="00B77D57" w:rsidRDefault="00A3194C" w:rsidP="002334DF">
            <w:pPr>
              <w:pStyle w:val="ListParagraph"/>
              <w:numPr>
                <w:ilvl w:val="3"/>
                <w:numId w:val="9"/>
              </w:numPr>
              <w:ind w:left="2766" w:hanging="1146"/>
              <w:rPr>
                <w:bCs/>
              </w:rPr>
            </w:pPr>
            <w:r w:rsidRPr="00B77D57">
              <w:rPr>
                <w:bCs/>
              </w:rPr>
              <w:t>Off-</w:t>
            </w:r>
            <w:proofErr w:type="gramStart"/>
            <w:r w:rsidRPr="00B77D57">
              <w:rPr>
                <w:bCs/>
              </w:rPr>
              <w:t>taker;</w:t>
            </w:r>
            <w:proofErr w:type="gramEnd"/>
          </w:p>
          <w:p w14:paraId="6E830BC7" w14:textId="77777777" w:rsidR="00A3194C" w:rsidRPr="00B77D57" w:rsidRDefault="00A3194C" w:rsidP="002334DF">
            <w:pPr>
              <w:pStyle w:val="ListParagraph"/>
              <w:ind w:left="2766" w:hanging="1146"/>
              <w:rPr>
                <w:bCs/>
              </w:rPr>
            </w:pPr>
          </w:p>
          <w:p w14:paraId="3467BD44" w14:textId="77777777" w:rsidR="00A3194C" w:rsidRPr="00B77D57" w:rsidRDefault="00A3194C" w:rsidP="002334DF">
            <w:pPr>
              <w:pStyle w:val="ListParagraph"/>
              <w:numPr>
                <w:ilvl w:val="3"/>
                <w:numId w:val="9"/>
              </w:numPr>
              <w:ind w:left="2766" w:hanging="1146"/>
              <w:rPr>
                <w:bCs/>
              </w:rPr>
            </w:pPr>
            <w:r w:rsidRPr="00B77D57">
              <w:rPr>
                <w:bCs/>
              </w:rPr>
              <w:t>Target date of mothballing; and</w:t>
            </w:r>
          </w:p>
          <w:p w14:paraId="0AD4A9CE" w14:textId="77777777" w:rsidR="00A3194C" w:rsidRPr="00B77D57" w:rsidRDefault="00A3194C" w:rsidP="002334DF">
            <w:pPr>
              <w:pStyle w:val="ListParagraph"/>
              <w:ind w:left="2766" w:hanging="1146"/>
              <w:rPr>
                <w:bCs/>
              </w:rPr>
            </w:pPr>
          </w:p>
          <w:p w14:paraId="1B82FDFC" w14:textId="77777777" w:rsidR="00A3194C" w:rsidRPr="00B77D57" w:rsidRDefault="00A3194C" w:rsidP="002334DF">
            <w:pPr>
              <w:pStyle w:val="ListParagraph"/>
              <w:numPr>
                <w:ilvl w:val="3"/>
                <w:numId w:val="9"/>
              </w:numPr>
              <w:ind w:left="2766" w:hanging="1146"/>
              <w:rPr>
                <w:bCs/>
              </w:rPr>
            </w:pPr>
            <w:r w:rsidRPr="00B77D57">
              <w:rPr>
                <w:bCs/>
              </w:rPr>
              <w:t>Target date of return to service.</w:t>
            </w:r>
          </w:p>
          <w:p w14:paraId="0B565E3A" w14:textId="77777777" w:rsidR="00A3194C" w:rsidRPr="00B77D57" w:rsidRDefault="00A3194C" w:rsidP="002334DF">
            <w:pPr>
              <w:pStyle w:val="ListParagraph"/>
              <w:ind w:left="900"/>
              <w:rPr>
                <w:bCs/>
              </w:rPr>
            </w:pPr>
          </w:p>
        </w:tc>
        <w:tc>
          <w:tcPr>
            <w:tcW w:w="5533" w:type="dxa"/>
          </w:tcPr>
          <w:p w14:paraId="0B699AF5" w14:textId="77777777" w:rsidR="00A3194C" w:rsidRPr="00B77D57" w:rsidRDefault="00A3194C" w:rsidP="002334DF"/>
        </w:tc>
        <w:tc>
          <w:tcPr>
            <w:tcW w:w="4820" w:type="dxa"/>
          </w:tcPr>
          <w:p w14:paraId="6D6A7235" w14:textId="77777777" w:rsidR="00A3194C" w:rsidRPr="00B77D57" w:rsidRDefault="00A3194C" w:rsidP="002334DF"/>
        </w:tc>
      </w:tr>
      <w:tr w:rsidR="00A3194C" w:rsidRPr="00B77D57" w14:paraId="5F2FB1BE" w14:textId="77777777" w:rsidTr="002334DF">
        <w:tc>
          <w:tcPr>
            <w:tcW w:w="7645" w:type="dxa"/>
          </w:tcPr>
          <w:p w14:paraId="1726ECBE" w14:textId="77777777" w:rsidR="00A3194C" w:rsidRPr="00B77D57" w:rsidRDefault="00A3194C" w:rsidP="002334DF">
            <w:pPr>
              <w:pStyle w:val="ListParagraph"/>
              <w:numPr>
                <w:ilvl w:val="2"/>
                <w:numId w:val="7"/>
              </w:numPr>
              <w:ind w:left="1620"/>
              <w:rPr>
                <w:bCs/>
              </w:rPr>
            </w:pPr>
            <w:r w:rsidRPr="00B77D57">
              <w:rPr>
                <w:bCs/>
              </w:rPr>
              <w:t>Notarized Board Resolution or any equivalent document supporting the request for mothballing;</w:t>
            </w:r>
          </w:p>
        </w:tc>
        <w:tc>
          <w:tcPr>
            <w:tcW w:w="5533" w:type="dxa"/>
          </w:tcPr>
          <w:p w14:paraId="4B54FCCE" w14:textId="77777777" w:rsidR="00A3194C" w:rsidRPr="00B77D57" w:rsidRDefault="00A3194C" w:rsidP="002334DF"/>
        </w:tc>
        <w:tc>
          <w:tcPr>
            <w:tcW w:w="4820" w:type="dxa"/>
          </w:tcPr>
          <w:p w14:paraId="16734521" w14:textId="77777777" w:rsidR="00A3194C" w:rsidRPr="00B77D57" w:rsidRDefault="00A3194C" w:rsidP="002334DF"/>
        </w:tc>
      </w:tr>
      <w:tr w:rsidR="00A3194C" w:rsidRPr="00B77D57" w14:paraId="197D269B" w14:textId="77777777" w:rsidTr="002334DF">
        <w:tc>
          <w:tcPr>
            <w:tcW w:w="7645" w:type="dxa"/>
          </w:tcPr>
          <w:p w14:paraId="43C2AD0D" w14:textId="77777777" w:rsidR="00A3194C" w:rsidRPr="00B77D57" w:rsidRDefault="00A3194C" w:rsidP="002334DF">
            <w:pPr>
              <w:pStyle w:val="ListParagraph"/>
              <w:numPr>
                <w:ilvl w:val="2"/>
                <w:numId w:val="7"/>
              </w:numPr>
              <w:ind w:left="1620"/>
              <w:rPr>
                <w:bCs/>
              </w:rPr>
            </w:pPr>
            <w:r w:rsidRPr="00B77D57">
              <w:rPr>
                <w:bCs/>
              </w:rPr>
              <w:t xml:space="preserve">Acknowledgement letter of the applicant’s LOI from the various agencies such as the BOI, NGCP or local </w:t>
            </w:r>
            <w:proofErr w:type="spellStart"/>
            <w:r w:rsidRPr="00B77D57">
              <w:rPr>
                <w:bCs/>
              </w:rPr>
              <w:t>Dus</w:t>
            </w:r>
            <w:proofErr w:type="spellEnd"/>
            <w:r w:rsidRPr="00B77D57">
              <w:rPr>
                <w:bCs/>
              </w:rPr>
              <w:t xml:space="preserve"> </w:t>
            </w:r>
            <w:r w:rsidRPr="00B77D57">
              <w:rPr>
                <w:bCs/>
              </w:rPr>
              <w:lastRenderedPageBreak/>
              <w:t xml:space="preserve">(for embedded generating facilities), PEMC, IEMOP, and ERC; </w:t>
            </w:r>
          </w:p>
        </w:tc>
        <w:tc>
          <w:tcPr>
            <w:tcW w:w="5533" w:type="dxa"/>
          </w:tcPr>
          <w:p w14:paraId="1E759C33" w14:textId="77777777" w:rsidR="00A3194C" w:rsidRPr="00B77D57" w:rsidRDefault="00A3194C" w:rsidP="002334DF"/>
        </w:tc>
        <w:tc>
          <w:tcPr>
            <w:tcW w:w="4820" w:type="dxa"/>
          </w:tcPr>
          <w:p w14:paraId="20F60727" w14:textId="77777777" w:rsidR="00A3194C" w:rsidRPr="00B77D57" w:rsidRDefault="00A3194C" w:rsidP="002334DF"/>
        </w:tc>
      </w:tr>
      <w:tr w:rsidR="00A3194C" w:rsidRPr="00B77D57" w14:paraId="66891FBE" w14:textId="77777777" w:rsidTr="002334DF">
        <w:tc>
          <w:tcPr>
            <w:tcW w:w="7645" w:type="dxa"/>
          </w:tcPr>
          <w:p w14:paraId="713ECE10" w14:textId="77777777" w:rsidR="00A3194C" w:rsidRPr="00B77D57" w:rsidRDefault="00A3194C" w:rsidP="002334DF">
            <w:pPr>
              <w:pStyle w:val="ListParagraph"/>
              <w:numPr>
                <w:ilvl w:val="2"/>
                <w:numId w:val="7"/>
              </w:numPr>
              <w:ind w:left="1620"/>
              <w:rPr>
                <w:bCs/>
              </w:rPr>
            </w:pPr>
            <w:r w:rsidRPr="00B77D57">
              <w:rPr>
                <w:bCs/>
              </w:rPr>
              <w:t>Letter of no objection from DENR regarding the plan to mothball a generating plant or unit; and</w:t>
            </w:r>
          </w:p>
        </w:tc>
        <w:tc>
          <w:tcPr>
            <w:tcW w:w="5533" w:type="dxa"/>
          </w:tcPr>
          <w:p w14:paraId="11744024" w14:textId="77777777" w:rsidR="00A3194C" w:rsidRPr="00B77D57" w:rsidRDefault="00A3194C" w:rsidP="002334DF"/>
        </w:tc>
        <w:tc>
          <w:tcPr>
            <w:tcW w:w="4820" w:type="dxa"/>
          </w:tcPr>
          <w:p w14:paraId="33CD502A" w14:textId="77777777" w:rsidR="00A3194C" w:rsidRPr="00B77D57" w:rsidRDefault="00A3194C" w:rsidP="002334DF"/>
        </w:tc>
      </w:tr>
      <w:tr w:rsidR="00A3194C" w:rsidRPr="00B77D57" w14:paraId="3145F305" w14:textId="77777777" w:rsidTr="002334DF">
        <w:tc>
          <w:tcPr>
            <w:tcW w:w="7645" w:type="dxa"/>
          </w:tcPr>
          <w:p w14:paraId="3593969D" w14:textId="77777777" w:rsidR="00A3194C" w:rsidRPr="00B77D57" w:rsidRDefault="00A3194C" w:rsidP="002334DF">
            <w:pPr>
              <w:pStyle w:val="ListParagraph"/>
              <w:numPr>
                <w:ilvl w:val="2"/>
                <w:numId w:val="7"/>
              </w:numPr>
              <w:ind w:left="1620"/>
              <w:rPr>
                <w:bCs/>
              </w:rPr>
            </w:pPr>
            <w:r w:rsidRPr="00B77D57">
              <w:rPr>
                <w:bCs/>
              </w:rPr>
              <w:t>Mothballing Plan indicating the activities starting from the mothballing date of the generating plant or unit up to the return to service date.</w:t>
            </w:r>
          </w:p>
        </w:tc>
        <w:tc>
          <w:tcPr>
            <w:tcW w:w="5533" w:type="dxa"/>
          </w:tcPr>
          <w:p w14:paraId="7A05CFA9" w14:textId="77777777" w:rsidR="00A3194C" w:rsidRPr="00B77D57" w:rsidRDefault="00A3194C" w:rsidP="002334DF"/>
        </w:tc>
        <w:tc>
          <w:tcPr>
            <w:tcW w:w="4820" w:type="dxa"/>
          </w:tcPr>
          <w:p w14:paraId="4BFC834D" w14:textId="77777777" w:rsidR="00A3194C" w:rsidRPr="00B77D57" w:rsidRDefault="00A3194C" w:rsidP="002334DF"/>
        </w:tc>
      </w:tr>
      <w:tr w:rsidR="00A3194C" w:rsidRPr="00B77D57" w14:paraId="6513767E" w14:textId="77777777" w:rsidTr="002334DF">
        <w:tc>
          <w:tcPr>
            <w:tcW w:w="7645" w:type="dxa"/>
          </w:tcPr>
          <w:p w14:paraId="6388DCAF" w14:textId="77777777" w:rsidR="00A3194C" w:rsidRPr="00B77D57" w:rsidRDefault="00A3194C" w:rsidP="002334DF">
            <w:pPr>
              <w:pStyle w:val="ListParagraph"/>
              <w:numPr>
                <w:ilvl w:val="1"/>
                <w:numId w:val="7"/>
              </w:numPr>
              <w:ind w:left="900" w:hanging="540"/>
              <w:rPr>
                <w:bCs/>
              </w:rPr>
            </w:pPr>
            <w:r w:rsidRPr="00B77D57">
              <w:rPr>
                <w:bCs/>
              </w:rPr>
              <w:t>The DOE shall check the completeness of the applicant’s submitted requirements and shall notify the applicant within three (3) working days of the status of its application to mothball a generating plant or unit.</w:t>
            </w:r>
          </w:p>
          <w:p w14:paraId="1487058F" w14:textId="77777777" w:rsidR="00A3194C" w:rsidRPr="00B77D57" w:rsidRDefault="00A3194C" w:rsidP="002334DF">
            <w:pPr>
              <w:pStyle w:val="ListParagraph"/>
              <w:ind w:left="900"/>
              <w:rPr>
                <w:bCs/>
              </w:rPr>
            </w:pPr>
          </w:p>
          <w:p w14:paraId="1AED0C94" w14:textId="77777777" w:rsidR="00A3194C" w:rsidRPr="00B77D57" w:rsidRDefault="00A3194C" w:rsidP="002334DF">
            <w:pPr>
              <w:pStyle w:val="ListParagraph"/>
              <w:ind w:left="900"/>
              <w:rPr>
                <w:bCs/>
              </w:rPr>
            </w:pPr>
            <w:r w:rsidRPr="00B77D57">
              <w:t>The applicant shall have two (2) months to complete the necessary requirements after the DOE notification. Failure to comply within the prescribed period shall render the LOI invalid and void, and the generating plant or unit shall continue to be governed by existing rules and regulations subject to imposition of sanctions and penalties.</w:t>
            </w:r>
          </w:p>
        </w:tc>
        <w:tc>
          <w:tcPr>
            <w:tcW w:w="5533" w:type="dxa"/>
          </w:tcPr>
          <w:p w14:paraId="13084423" w14:textId="77777777" w:rsidR="00A3194C" w:rsidRPr="00B77D57" w:rsidRDefault="00A3194C" w:rsidP="002334DF"/>
        </w:tc>
        <w:tc>
          <w:tcPr>
            <w:tcW w:w="4820" w:type="dxa"/>
          </w:tcPr>
          <w:p w14:paraId="3F2AB94C" w14:textId="77777777" w:rsidR="00A3194C" w:rsidRPr="00B77D57" w:rsidRDefault="00A3194C" w:rsidP="002334DF"/>
        </w:tc>
      </w:tr>
      <w:tr w:rsidR="00A3194C" w:rsidRPr="00B77D57" w14:paraId="2E0E71A9" w14:textId="77777777" w:rsidTr="002334DF">
        <w:tc>
          <w:tcPr>
            <w:tcW w:w="7645" w:type="dxa"/>
          </w:tcPr>
          <w:p w14:paraId="36B5B077" w14:textId="77777777" w:rsidR="00A3194C" w:rsidRPr="00B77D57" w:rsidRDefault="00A3194C" w:rsidP="002334DF">
            <w:pPr>
              <w:pStyle w:val="ListParagraph"/>
              <w:numPr>
                <w:ilvl w:val="1"/>
                <w:numId w:val="7"/>
              </w:numPr>
              <w:ind w:left="900" w:hanging="540"/>
              <w:rPr>
                <w:bCs/>
              </w:rPr>
            </w:pPr>
            <w:r w:rsidRPr="00B77D57">
              <w:rPr>
                <w:bCs/>
              </w:rPr>
              <w:t xml:space="preserve">The DOE shall evaluate the application for mothballing of the generating plant or unit being applied for, in consideration of the impact on the power system. </w:t>
            </w:r>
          </w:p>
        </w:tc>
        <w:tc>
          <w:tcPr>
            <w:tcW w:w="5533" w:type="dxa"/>
          </w:tcPr>
          <w:p w14:paraId="733FA643" w14:textId="77777777" w:rsidR="00A3194C" w:rsidRPr="00B77D57" w:rsidRDefault="00A3194C" w:rsidP="002334DF"/>
        </w:tc>
        <w:tc>
          <w:tcPr>
            <w:tcW w:w="4820" w:type="dxa"/>
          </w:tcPr>
          <w:p w14:paraId="6BDA3ACB" w14:textId="77777777" w:rsidR="00A3194C" w:rsidRPr="00B77D57" w:rsidRDefault="00A3194C" w:rsidP="002334DF"/>
        </w:tc>
      </w:tr>
      <w:tr w:rsidR="00A3194C" w:rsidRPr="00B77D57" w14:paraId="52FDFE83" w14:textId="77777777" w:rsidTr="002334DF">
        <w:tc>
          <w:tcPr>
            <w:tcW w:w="7645" w:type="dxa"/>
          </w:tcPr>
          <w:p w14:paraId="7B2B3A3B" w14:textId="77777777" w:rsidR="00A3194C" w:rsidRPr="00B77D57" w:rsidRDefault="00A3194C" w:rsidP="002334DF">
            <w:pPr>
              <w:pStyle w:val="ListParagraph"/>
              <w:numPr>
                <w:ilvl w:val="1"/>
                <w:numId w:val="7"/>
              </w:numPr>
              <w:ind w:left="900" w:hanging="540"/>
              <w:rPr>
                <w:bCs/>
              </w:rPr>
            </w:pPr>
            <w:r w:rsidRPr="00B77D57">
              <w:rPr>
                <w:bCs/>
              </w:rPr>
              <w:t xml:space="preserve">The DOE shall issue the LOC within sixty (60) calendar days upon receipt of the complete documentary requirements submitted by the applicant as provided in Section 4.8 of this Circular. Provided that the issuance of LOC shall not preclude the ERC from exercising authority over anti-competitive behaviors of </w:t>
            </w:r>
            <w:proofErr w:type="spellStart"/>
            <w:r w:rsidRPr="00B77D57">
              <w:rPr>
                <w:bCs/>
              </w:rPr>
              <w:t>GenCos</w:t>
            </w:r>
            <w:proofErr w:type="spellEnd"/>
            <w:r w:rsidRPr="00B77D57">
              <w:rPr>
                <w:bCs/>
              </w:rPr>
              <w:t>.</w:t>
            </w:r>
          </w:p>
        </w:tc>
        <w:tc>
          <w:tcPr>
            <w:tcW w:w="5533" w:type="dxa"/>
          </w:tcPr>
          <w:p w14:paraId="4465E178" w14:textId="77777777" w:rsidR="00A3194C" w:rsidRPr="00B77D57" w:rsidRDefault="00A3194C" w:rsidP="002334DF"/>
        </w:tc>
        <w:tc>
          <w:tcPr>
            <w:tcW w:w="4820" w:type="dxa"/>
          </w:tcPr>
          <w:p w14:paraId="13879223" w14:textId="77777777" w:rsidR="00A3194C" w:rsidRPr="00B77D57" w:rsidRDefault="00A3194C" w:rsidP="002334DF"/>
        </w:tc>
      </w:tr>
      <w:tr w:rsidR="00A3194C" w:rsidRPr="00B77D57" w14:paraId="1640FE38" w14:textId="77777777" w:rsidTr="002334DF">
        <w:tc>
          <w:tcPr>
            <w:tcW w:w="7645" w:type="dxa"/>
          </w:tcPr>
          <w:p w14:paraId="7519D176" w14:textId="77777777" w:rsidR="00A3194C" w:rsidRPr="00B77D57" w:rsidRDefault="00A3194C" w:rsidP="002334DF">
            <w:pPr>
              <w:pStyle w:val="ListParagraph"/>
              <w:numPr>
                <w:ilvl w:val="1"/>
                <w:numId w:val="7"/>
              </w:numPr>
              <w:ind w:left="900" w:hanging="540"/>
              <w:rPr>
                <w:bCs/>
              </w:rPr>
            </w:pPr>
            <w:r w:rsidRPr="00B77D57">
              <w:rPr>
                <w:bCs/>
              </w:rPr>
              <w:t xml:space="preserve">The applicant shall notify the DOE of any changes to its plan to mothball. Furthermore, the applicant shall inform the DOE and relevant agencies at least 30 days before its return to service. </w:t>
            </w:r>
          </w:p>
        </w:tc>
        <w:tc>
          <w:tcPr>
            <w:tcW w:w="5533" w:type="dxa"/>
          </w:tcPr>
          <w:p w14:paraId="7A858EF4" w14:textId="77777777" w:rsidR="00A3194C" w:rsidRPr="00B77D57" w:rsidRDefault="00A3194C" w:rsidP="002334DF"/>
        </w:tc>
        <w:tc>
          <w:tcPr>
            <w:tcW w:w="4820" w:type="dxa"/>
          </w:tcPr>
          <w:p w14:paraId="70CA26D7" w14:textId="77777777" w:rsidR="00A3194C" w:rsidRPr="00B77D57" w:rsidRDefault="00A3194C" w:rsidP="002334DF"/>
        </w:tc>
      </w:tr>
      <w:tr w:rsidR="00A3194C" w:rsidRPr="00B77D57" w14:paraId="05C5B28D" w14:textId="77777777" w:rsidTr="002334DF">
        <w:tc>
          <w:tcPr>
            <w:tcW w:w="7645" w:type="dxa"/>
          </w:tcPr>
          <w:p w14:paraId="5665646A" w14:textId="77777777" w:rsidR="00A3194C" w:rsidRPr="00B77D57" w:rsidRDefault="00A3194C" w:rsidP="002334DF">
            <w:pPr>
              <w:pStyle w:val="ListParagraph"/>
              <w:numPr>
                <w:ilvl w:val="1"/>
                <w:numId w:val="7"/>
              </w:numPr>
              <w:ind w:left="900" w:hanging="540"/>
              <w:rPr>
                <w:bCs/>
              </w:rPr>
            </w:pPr>
            <w:r w:rsidRPr="00B77D57">
              <w:rPr>
                <w:bCs/>
              </w:rPr>
              <w:t xml:space="preserve">The applicant shall notify the DOE and relevant agencies whether the mothballed generating plant or unit will return to service as scheduled, or deviate from the mothballing period, </w:t>
            </w:r>
            <w:r w:rsidRPr="00B77D57">
              <w:rPr>
                <w:bCs/>
              </w:rPr>
              <w:lastRenderedPageBreak/>
              <w:t>wherein the number of extended days shall fall under unplanned outages.</w:t>
            </w:r>
          </w:p>
        </w:tc>
        <w:tc>
          <w:tcPr>
            <w:tcW w:w="5533" w:type="dxa"/>
          </w:tcPr>
          <w:p w14:paraId="0ACA0795" w14:textId="77777777" w:rsidR="00A3194C" w:rsidRPr="00B77D57" w:rsidRDefault="00A3194C" w:rsidP="002334DF"/>
        </w:tc>
        <w:tc>
          <w:tcPr>
            <w:tcW w:w="4820" w:type="dxa"/>
          </w:tcPr>
          <w:p w14:paraId="0391A724" w14:textId="77777777" w:rsidR="00A3194C" w:rsidRPr="00B77D57" w:rsidRDefault="00A3194C" w:rsidP="002334DF"/>
        </w:tc>
      </w:tr>
      <w:tr w:rsidR="00A3194C" w:rsidRPr="00B77D57" w14:paraId="10981EDE" w14:textId="77777777" w:rsidTr="002334DF">
        <w:tc>
          <w:tcPr>
            <w:tcW w:w="7645" w:type="dxa"/>
          </w:tcPr>
          <w:p w14:paraId="0C5F6D9E" w14:textId="77777777" w:rsidR="00A3194C" w:rsidRPr="00B77D57" w:rsidRDefault="00A3194C" w:rsidP="002334DF">
            <w:pPr>
              <w:rPr>
                <w:bCs/>
              </w:rPr>
            </w:pPr>
            <w:r w:rsidRPr="00B77D57">
              <w:rPr>
                <w:b/>
              </w:rPr>
              <w:t xml:space="preserve">Section 5. Responsibilities of </w:t>
            </w:r>
            <w:proofErr w:type="spellStart"/>
            <w:r w:rsidRPr="00B77D57">
              <w:rPr>
                <w:b/>
              </w:rPr>
              <w:t>GenCos</w:t>
            </w:r>
            <w:proofErr w:type="spellEnd"/>
            <w:r w:rsidRPr="00B77D57">
              <w:rPr>
                <w:b/>
              </w:rPr>
              <w:t xml:space="preserve">. </w:t>
            </w:r>
            <w:r w:rsidRPr="00B77D57">
              <w:rPr>
                <w:bCs/>
              </w:rPr>
              <w:t xml:space="preserve">In addition to the above processes, the owner </w:t>
            </w:r>
            <w:r w:rsidRPr="00B77D57">
              <w:t>shall also be responsible for the following:</w:t>
            </w:r>
            <w:r w:rsidRPr="00B77D57">
              <w:rPr>
                <w:bCs/>
              </w:rPr>
              <w:t xml:space="preserve"> </w:t>
            </w:r>
          </w:p>
        </w:tc>
        <w:tc>
          <w:tcPr>
            <w:tcW w:w="5533" w:type="dxa"/>
          </w:tcPr>
          <w:p w14:paraId="43FD0830" w14:textId="77777777" w:rsidR="00A3194C" w:rsidRPr="00B77D57" w:rsidRDefault="00A3194C" w:rsidP="002334DF"/>
        </w:tc>
        <w:tc>
          <w:tcPr>
            <w:tcW w:w="4820" w:type="dxa"/>
          </w:tcPr>
          <w:p w14:paraId="5D2FDF58" w14:textId="77777777" w:rsidR="00A3194C" w:rsidRPr="00B77D57" w:rsidRDefault="00A3194C" w:rsidP="002334DF"/>
        </w:tc>
      </w:tr>
      <w:tr w:rsidR="00A3194C" w:rsidRPr="00B77D57" w14:paraId="0068CCA0" w14:textId="77777777" w:rsidTr="002334DF">
        <w:tc>
          <w:tcPr>
            <w:tcW w:w="7645" w:type="dxa"/>
          </w:tcPr>
          <w:p w14:paraId="36E4F3B4" w14:textId="77777777" w:rsidR="00A3194C" w:rsidRPr="00B77D57" w:rsidRDefault="00A3194C" w:rsidP="002334DF">
            <w:pPr>
              <w:pStyle w:val="ListParagraph"/>
              <w:numPr>
                <w:ilvl w:val="0"/>
                <w:numId w:val="10"/>
              </w:numPr>
              <w:ind w:left="851" w:hanging="491"/>
              <w:rPr>
                <w:bCs/>
              </w:rPr>
            </w:pPr>
            <w:r w:rsidRPr="00B77D57">
              <w:rPr>
                <w:bCs/>
              </w:rPr>
              <w:t>The Genco shall continue to comply with applicable rules and regulations relative to its operation and shall ensure availability of its generating plant or unit prior to the effective date of its decommissioning or mothballing;</w:t>
            </w:r>
          </w:p>
        </w:tc>
        <w:tc>
          <w:tcPr>
            <w:tcW w:w="5533" w:type="dxa"/>
          </w:tcPr>
          <w:p w14:paraId="08661E0E" w14:textId="77777777" w:rsidR="00A3194C" w:rsidRPr="00B77D57" w:rsidRDefault="00A3194C" w:rsidP="002334DF"/>
        </w:tc>
        <w:tc>
          <w:tcPr>
            <w:tcW w:w="4820" w:type="dxa"/>
          </w:tcPr>
          <w:p w14:paraId="509BB482" w14:textId="77777777" w:rsidR="00A3194C" w:rsidRPr="00B77D57" w:rsidRDefault="00A3194C" w:rsidP="002334DF"/>
        </w:tc>
      </w:tr>
      <w:tr w:rsidR="00A3194C" w:rsidRPr="00B77D57" w14:paraId="1F0CB70E" w14:textId="77777777" w:rsidTr="002334DF">
        <w:tc>
          <w:tcPr>
            <w:tcW w:w="7645" w:type="dxa"/>
          </w:tcPr>
          <w:p w14:paraId="4F7ED118" w14:textId="77777777" w:rsidR="00A3194C" w:rsidRPr="00B77D57" w:rsidRDefault="00A3194C" w:rsidP="002334DF">
            <w:pPr>
              <w:pStyle w:val="ListParagraph"/>
              <w:numPr>
                <w:ilvl w:val="0"/>
                <w:numId w:val="10"/>
              </w:numPr>
              <w:ind w:left="851" w:hanging="491"/>
              <w:rPr>
                <w:bCs/>
              </w:rPr>
            </w:pPr>
            <w:r w:rsidRPr="00B77D57">
              <w:rPr>
                <w:bCs/>
              </w:rPr>
              <w:t xml:space="preserve">Prepare and submit a quarterly progress report to the DOE based on the Mothballing Plan; </w:t>
            </w:r>
          </w:p>
        </w:tc>
        <w:tc>
          <w:tcPr>
            <w:tcW w:w="5533" w:type="dxa"/>
          </w:tcPr>
          <w:p w14:paraId="4F285DAF" w14:textId="77777777" w:rsidR="00A3194C" w:rsidRPr="00B77D57" w:rsidRDefault="00A3194C" w:rsidP="002334DF"/>
        </w:tc>
        <w:tc>
          <w:tcPr>
            <w:tcW w:w="4820" w:type="dxa"/>
          </w:tcPr>
          <w:p w14:paraId="5A9EF43D" w14:textId="77777777" w:rsidR="00A3194C" w:rsidRPr="00B77D57" w:rsidRDefault="00A3194C" w:rsidP="002334DF"/>
        </w:tc>
      </w:tr>
      <w:tr w:rsidR="00A3194C" w:rsidRPr="00B77D57" w14:paraId="155EF777" w14:textId="77777777" w:rsidTr="002334DF">
        <w:tc>
          <w:tcPr>
            <w:tcW w:w="7645" w:type="dxa"/>
          </w:tcPr>
          <w:p w14:paraId="45D76755" w14:textId="77777777" w:rsidR="00A3194C" w:rsidRPr="00B77D57" w:rsidRDefault="00A3194C" w:rsidP="002334DF">
            <w:pPr>
              <w:pStyle w:val="ListParagraph"/>
              <w:numPr>
                <w:ilvl w:val="0"/>
                <w:numId w:val="10"/>
              </w:numPr>
              <w:ind w:left="851" w:hanging="491"/>
              <w:rPr>
                <w:bCs/>
              </w:rPr>
            </w:pPr>
            <w:r w:rsidRPr="00B77D57">
              <w:rPr>
                <w:bCs/>
              </w:rPr>
              <w:t>Upon receipt of the LOC, submit a copy of the same to the MO, SO, and ERC. The submission shall be made no later than 7 calendar days before the start date of decommissioning or mothballing as indicated in the LOC.</w:t>
            </w:r>
          </w:p>
        </w:tc>
        <w:tc>
          <w:tcPr>
            <w:tcW w:w="5533" w:type="dxa"/>
          </w:tcPr>
          <w:p w14:paraId="73A3FA26" w14:textId="77777777" w:rsidR="00A3194C" w:rsidRPr="00B77D57" w:rsidRDefault="00A3194C" w:rsidP="002334DF"/>
        </w:tc>
        <w:tc>
          <w:tcPr>
            <w:tcW w:w="4820" w:type="dxa"/>
          </w:tcPr>
          <w:p w14:paraId="74C06E93" w14:textId="77777777" w:rsidR="00A3194C" w:rsidRPr="00B77D57" w:rsidRDefault="00A3194C" w:rsidP="002334DF"/>
        </w:tc>
      </w:tr>
      <w:tr w:rsidR="00A3194C" w:rsidRPr="00B77D57" w14:paraId="37920B30" w14:textId="77777777" w:rsidTr="002334DF">
        <w:tc>
          <w:tcPr>
            <w:tcW w:w="7645" w:type="dxa"/>
          </w:tcPr>
          <w:p w14:paraId="77483FA8" w14:textId="77777777" w:rsidR="00A3194C" w:rsidRPr="00B77D57" w:rsidRDefault="00A3194C" w:rsidP="002334DF">
            <w:pPr>
              <w:rPr>
                <w:bCs/>
              </w:rPr>
            </w:pPr>
            <w:r w:rsidRPr="00B77D57">
              <w:rPr>
                <w:b/>
              </w:rPr>
              <w:t xml:space="preserve">Section 6. Responsibilities of the DOE. </w:t>
            </w:r>
            <w:r w:rsidRPr="00B77D57">
              <w:rPr>
                <w:bCs/>
              </w:rPr>
              <w:t>Pursuant to its mandate under the EPIRA, the DOE shall also:</w:t>
            </w:r>
          </w:p>
        </w:tc>
        <w:tc>
          <w:tcPr>
            <w:tcW w:w="5533" w:type="dxa"/>
          </w:tcPr>
          <w:p w14:paraId="29BF0F69" w14:textId="77777777" w:rsidR="00A3194C" w:rsidRPr="00B77D57" w:rsidRDefault="00A3194C" w:rsidP="002334DF"/>
        </w:tc>
        <w:tc>
          <w:tcPr>
            <w:tcW w:w="4820" w:type="dxa"/>
          </w:tcPr>
          <w:p w14:paraId="21BF00E5" w14:textId="77777777" w:rsidR="00A3194C" w:rsidRPr="00B77D57" w:rsidRDefault="00A3194C" w:rsidP="002334DF"/>
        </w:tc>
      </w:tr>
      <w:tr w:rsidR="00A3194C" w:rsidRPr="00B77D57" w14:paraId="41CA7A33" w14:textId="77777777" w:rsidTr="002334DF">
        <w:tc>
          <w:tcPr>
            <w:tcW w:w="7645" w:type="dxa"/>
          </w:tcPr>
          <w:p w14:paraId="78C3FA8A" w14:textId="77777777" w:rsidR="00A3194C" w:rsidRPr="00B77D57" w:rsidRDefault="00A3194C" w:rsidP="002334DF">
            <w:pPr>
              <w:pStyle w:val="ListParagraph"/>
              <w:numPr>
                <w:ilvl w:val="0"/>
                <w:numId w:val="11"/>
              </w:numPr>
              <w:ind w:left="810" w:hanging="450"/>
              <w:rPr>
                <w:bCs/>
              </w:rPr>
            </w:pPr>
            <w:r w:rsidRPr="00B77D57">
              <w:rPr>
                <w:bCs/>
              </w:rPr>
              <w:t>In coordination with the System Operator (SO), evaluate the potential impact of the possible reduction of dependable capacity due to decommissioning and/or mothballing of generating plant or unit; and</w:t>
            </w:r>
          </w:p>
          <w:p w14:paraId="116F72A0" w14:textId="77777777" w:rsidR="00A3194C" w:rsidRPr="00B77D57" w:rsidRDefault="00A3194C" w:rsidP="002334DF">
            <w:pPr>
              <w:pStyle w:val="ListParagraph"/>
              <w:ind w:left="810"/>
              <w:rPr>
                <w:bCs/>
              </w:rPr>
            </w:pPr>
          </w:p>
          <w:p w14:paraId="7B8D2C94" w14:textId="77777777" w:rsidR="00A3194C" w:rsidRPr="00B77D57" w:rsidRDefault="00A3194C" w:rsidP="002334DF">
            <w:pPr>
              <w:pStyle w:val="ListParagraph"/>
              <w:ind w:left="851"/>
              <w:rPr>
                <w:bCs/>
              </w:rPr>
            </w:pPr>
            <w:r w:rsidRPr="00B77D57">
              <w:rPr>
                <w:bCs/>
              </w:rPr>
              <w:t xml:space="preserve">Monitor the status of the mothballing activities of the </w:t>
            </w:r>
            <w:proofErr w:type="spellStart"/>
            <w:r w:rsidRPr="00B77D57">
              <w:rPr>
                <w:bCs/>
              </w:rPr>
              <w:t>GenCo</w:t>
            </w:r>
            <w:proofErr w:type="spellEnd"/>
            <w:r w:rsidRPr="00B77D57">
              <w:rPr>
                <w:bCs/>
              </w:rPr>
              <w:t xml:space="preserve"> for updating the power outlook.</w:t>
            </w:r>
          </w:p>
        </w:tc>
        <w:tc>
          <w:tcPr>
            <w:tcW w:w="5533" w:type="dxa"/>
          </w:tcPr>
          <w:p w14:paraId="71F41C67" w14:textId="77777777" w:rsidR="00A3194C" w:rsidRPr="00B77D57" w:rsidRDefault="00A3194C" w:rsidP="002334DF"/>
        </w:tc>
        <w:tc>
          <w:tcPr>
            <w:tcW w:w="4820" w:type="dxa"/>
          </w:tcPr>
          <w:p w14:paraId="3CF29853" w14:textId="77777777" w:rsidR="00A3194C" w:rsidRPr="00B77D57" w:rsidRDefault="00A3194C" w:rsidP="002334DF"/>
        </w:tc>
      </w:tr>
      <w:tr w:rsidR="00A3194C" w:rsidRPr="00B77D57" w14:paraId="2E5E22B1" w14:textId="77777777" w:rsidTr="002334DF">
        <w:tc>
          <w:tcPr>
            <w:tcW w:w="7645" w:type="dxa"/>
          </w:tcPr>
          <w:p w14:paraId="0FBECC66" w14:textId="77777777" w:rsidR="00A3194C" w:rsidRPr="00B77D57" w:rsidRDefault="00A3194C" w:rsidP="002334DF">
            <w:pPr>
              <w:rPr>
                <w:bCs/>
              </w:rPr>
            </w:pPr>
            <w:r w:rsidRPr="00B77D57">
              <w:rPr>
                <w:b/>
              </w:rPr>
              <w:t xml:space="preserve">Section 7. Responsibilities of the MO. </w:t>
            </w:r>
            <w:r w:rsidRPr="00B77D57">
              <w:rPr>
                <w:bCs/>
              </w:rPr>
              <w:t>The MO shall:</w:t>
            </w:r>
          </w:p>
        </w:tc>
        <w:tc>
          <w:tcPr>
            <w:tcW w:w="5533" w:type="dxa"/>
          </w:tcPr>
          <w:p w14:paraId="25B41EAD" w14:textId="77777777" w:rsidR="00A3194C" w:rsidRPr="00B77D57" w:rsidRDefault="00A3194C" w:rsidP="002334DF"/>
        </w:tc>
        <w:tc>
          <w:tcPr>
            <w:tcW w:w="4820" w:type="dxa"/>
          </w:tcPr>
          <w:p w14:paraId="0A09A07A" w14:textId="77777777" w:rsidR="00A3194C" w:rsidRPr="00B77D57" w:rsidRDefault="00A3194C" w:rsidP="002334DF"/>
        </w:tc>
      </w:tr>
      <w:tr w:rsidR="00A3194C" w:rsidRPr="00B77D57" w14:paraId="39A85A10" w14:textId="77777777" w:rsidTr="002334DF">
        <w:tc>
          <w:tcPr>
            <w:tcW w:w="7645" w:type="dxa"/>
          </w:tcPr>
          <w:p w14:paraId="6C65A6E1" w14:textId="77777777" w:rsidR="00A3194C" w:rsidRPr="00B77D57" w:rsidRDefault="00A3194C" w:rsidP="002334DF">
            <w:pPr>
              <w:pStyle w:val="ListParagraph"/>
              <w:numPr>
                <w:ilvl w:val="0"/>
                <w:numId w:val="12"/>
              </w:numPr>
              <w:ind w:left="993" w:hanging="570"/>
              <w:rPr>
                <w:strike/>
              </w:rPr>
            </w:pPr>
            <w:r w:rsidRPr="00B77D57">
              <w:t>Prepare and submit to the Rules Change Committee (RCC) proposed changes to the WESM Rules and relevant Market Manuals, as may be necessary, for the effective implementation of the policies provided herein;</w:t>
            </w:r>
          </w:p>
        </w:tc>
        <w:tc>
          <w:tcPr>
            <w:tcW w:w="5533" w:type="dxa"/>
          </w:tcPr>
          <w:p w14:paraId="12C009FD" w14:textId="77777777" w:rsidR="00A3194C" w:rsidRPr="00B77D57" w:rsidRDefault="00A3194C" w:rsidP="002334DF"/>
        </w:tc>
        <w:tc>
          <w:tcPr>
            <w:tcW w:w="4820" w:type="dxa"/>
          </w:tcPr>
          <w:p w14:paraId="6C4BF950" w14:textId="77777777" w:rsidR="00A3194C" w:rsidRPr="00B77D57" w:rsidRDefault="00A3194C" w:rsidP="002334DF"/>
        </w:tc>
      </w:tr>
      <w:tr w:rsidR="00A3194C" w:rsidRPr="00B77D57" w14:paraId="66633807" w14:textId="77777777" w:rsidTr="002334DF">
        <w:tc>
          <w:tcPr>
            <w:tcW w:w="7645" w:type="dxa"/>
          </w:tcPr>
          <w:p w14:paraId="0A93F627" w14:textId="77777777" w:rsidR="00A3194C" w:rsidRPr="00B77D57" w:rsidRDefault="00A3194C" w:rsidP="002334DF">
            <w:pPr>
              <w:pStyle w:val="NoSpacing"/>
              <w:numPr>
                <w:ilvl w:val="0"/>
                <w:numId w:val="12"/>
              </w:numPr>
              <w:ind w:left="993" w:hanging="570"/>
              <w:jc w:val="both"/>
              <w:rPr>
                <w:rFonts w:ascii="Arial" w:hAnsi="Arial" w:cs="Arial"/>
                <w:sz w:val="24"/>
                <w:szCs w:val="24"/>
              </w:rPr>
            </w:pPr>
            <w:r w:rsidRPr="00B77D57">
              <w:rPr>
                <w:rFonts w:ascii="Arial" w:hAnsi="Arial" w:cs="Arial"/>
                <w:sz w:val="24"/>
                <w:szCs w:val="24"/>
              </w:rPr>
              <w:t>Ensure timely processing of applications for deregistration and issuance of necessary document in relation to decommissioning/mothballing; and</w:t>
            </w:r>
          </w:p>
        </w:tc>
        <w:tc>
          <w:tcPr>
            <w:tcW w:w="5533" w:type="dxa"/>
          </w:tcPr>
          <w:p w14:paraId="6956DD94" w14:textId="77777777" w:rsidR="00A3194C" w:rsidRPr="00B77D57" w:rsidRDefault="00A3194C" w:rsidP="002334DF"/>
        </w:tc>
        <w:tc>
          <w:tcPr>
            <w:tcW w:w="4820" w:type="dxa"/>
          </w:tcPr>
          <w:p w14:paraId="447F656F" w14:textId="77777777" w:rsidR="00A3194C" w:rsidRPr="00B77D57" w:rsidRDefault="00A3194C" w:rsidP="002334DF"/>
        </w:tc>
      </w:tr>
      <w:tr w:rsidR="00A3194C" w:rsidRPr="00B77D57" w14:paraId="09D21092" w14:textId="77777777" w:rsidTr="002334DF">
        <w:tc>
          <w:tcPr>
            <w:tcW w:w="7645" w:type="dxa"/>
          </w:tcPr>
          <w:p w14:paraId="0769432E" w14:textId="77777777" w:rsidR="00A3194C" w:rsidRPr="00B77D57" w:rsidRDefault="00A3194C" w:rsidP="002334DF">
            <w:pPr>
              <w:pStyle w:val="NoSpacing"/>
              <w:numPr>
                <w:ilvl w:val="0"/>
                <w:numId w:val="12"/>
              </w:numPr>
              <w:ind w:left="993" w:hanging="570"/>
              <w:jc w:val="both"/>
              <w:rPr>
                <w:rFonts w:ascii="Arial" w:hAnsi="Arial" w:cs="Arial"/>
                <w:sz w:val="24"/>
                <w:szCs w:val="24"/>
              </w:rPr>
            </w:pPr>
            <w:r w:rsidRPr="00B77D57">
              <w:rPr>
                <w:rFonts w:ascii="Arial" w:hAnsi="Arial" w:cs="Arial"/>
                <w:sz w:val="24"/>
                <w:szCs w:val="24"/>
              </w:rPr>
              <w:t>Provide update to the DOE, ERC, SO, NSP, and WESM Governance Arm the status of registration of generating plant or unit intending to decommission or mothball.</w:t>
            </w:r>
          </w:p>
        </w:tc>
        <w:tc>
          <w:tcPr>
            <w:tcW w:w="5533" w:type="dxa"/>
          </w:tcPr>
          <w:p w14:paraId="6C42FEFF" w14:textId="77777777" w:rsidR="00A3194C" w:rsidRPr="00B77D57" w:rsidRDefault="00A3194C" w:rsidP="002334DF"/>
        </w:tc>
        <w:tc>
          <w:tcPr>
            <w:tcW w:w="4820" w:type="dxa"/>
          </w:tcPr>
          <w:p w14:paraId="613D5AD2" w14:textId="77777777" w:rsidR="00A3194C" w:rsidRPr="00B77D57" w:rsidRDefault="00A3194C" w:rsidP="002334DF"/>
        </w:tc>
      </w:tr>
      <w:tr w:rsidR="00A3194C" w:rsidRPr="00B77D57" w14:paraId="1D5E9BE5" w14:textId="77777777" w:rsidTr="002334DF">
        <w:tc>
          <w:tcPr>
            <w:tcW w:w="7645" w:type="dxa"/>
          </w:tcPr>
          <w:p w14:paraId="5AD26231" w14:textId="77777777" w:rsidR="00A3194C" w:rsidRPr="00B77D57" w:rsidRDefault="00A3194C" w:rsidP="002334DF">
            <w:pPr>
              <w:pStyle w:val="NoSpacing"/>
              <w:jc w:val="both"/>
              <w:rPr>
                <w:rFonts w:ascii="Arial" w:hAnsi="Arial" w:cs="Arial"/>
                <w:b/>
                <w:bCs/>
                <w:sz w:val="24"/>
                <w:szCs w:val="24"/>
              </w:rPr>
            </w:pPr>
            <w:r w:rsidRPr="00B77D57">
              <w:rPr>
                <w:rFonts w:ascii="Arial" w:hAnsi="Arial" w:cs="Arial"/>
                <w:b/>
                <w:bCs/>
                <w:sz w:val="24"/>
                <w:szCs w:val="24"/>
              </w:rPr>
              <w:lastRenderedPageBreak/>
              <w:t xml:space="preserve">Section 8. Responsibility of the WESM Governance Arm. </w:t>
            </w:r>
            <w:r w:rsidRPr="00B77D57">
              <w:rPr>
                <w:rFonts w:ascii="Arial" w:hAnsi="Arial" w:cs="Arial"/>
                <w:sz w:val="24"/>
                <w:szCs w:val="24"/>
              </w:rPr>
              <w:t>The WESM Governance Arm shall:</w:t>
            </w:r>
          </w:p>
        </w:tc>
        <w:tc>
          <w:tcPr>
            <w:tcW w:w="5533" w:type="dxa"/>
          </w:tcPr>
          <w:p w14:paraId="540DD1A2" w14:textId="77777777" w:rsidR="00A3194C" w:rsidRPr="00B77D57" w:rsidRDefault="00A3194C" w:rsidP="002334DF"/>
        </w:tc>
        <w:tc>
          <w:tcPr>
            <w:tcW w:w="4820" w:type="dxa"/>
          </w:tcPr>
          <w:p w14:paraId="313019E8" w14:textId="77777777" w:rsidR="00A3194C" w:rsidRPr="00B77D57" w:rsidRDefault="00A3194C" w:rsidP="002334DF"/>
        </w:tc>
      </w:tr>
      <w:tr w:rsidR="00A3194C" w:rsidRPr="00B77D57" w14:paraId="0951379F" w14:textId="77777777" w:rsidTr="002334DF">
        <w:tc>
          <w:tcPr>
            <w:tcW w:w="7645" w:type="dxa"/>
          </w:tcPr>
          <w:p w14:paraId="518F6606" w14:textId="77777777" w:rsidR="00A3194C" w:rsidRPr="00B77D57" w:rsidRDefault="00A3194C" w:rsidP="002334DF">
            <w:pPr>
              <w:pStyle w:val="NoSpacing"/>
              <w:numPr>
                <w:ilvl w:val="1"/>
                <w:numId w:val="13"/>
              </w:numPr>
              <w:ind w:left="966" w:hanging="540"/>
              <w:jc w:val="both"/>
              <w:rPr>
                <w:rFonts w:ascii="Arial" w:hAnsi="Arial" w:cs="Arial"/>
                <w:sz w:val="24"/>
                <w:szCs w:val="24"/>
              </w:rPr>
            </w:pPr>
            <w:r w:rsidRPr="00B77D57">
              <w:rPr>
                <w:rFonts w:ascii="Arial" w:hAnsi="Arial" w:cs="Arial"/>
                <w:sz w:val="24"/>
                <w:szCs w:val="24"/>
              </w:rPr>
              <w:t>Prepare and submit to the RCC proposed changes to the WESM Rules and relevant Market Manuals in accordance with the enforcement and compliance to the policy provided herein as necessary; and</w:t>
            </w:r>
          </w:p>
        </w:tc>
        <w:tc>
          <w:tcPr>
            <w:tcW w:w="5533" w:type="dxa"/>
          </w:tcPr>
          <w:p w14:paraId="0549D91D" w14:textId="77777777" w:rsidR="00A3194C" w:rsidRPr="00B77D57" w:rsidRDefault="00A3194C" w:rsidP="002334DF"/>
        </w:tc>
        <w:tc>
          <w:tcPr>
            <w:tcW w:w="4820" w:type="dxa"/>
          </w:tcPr>
          <w:p w14:paraId="7D1AD458" w14:textId="77777777" w:rsidR="00A3194C" w:rsidRPr="00B77D57" w:rsidRDefault="00A3194C" w:rsidP="002334DF"/>
        </w:tc>
      </w:tr>
      <w:tr w:rsidR="00A3194C" w:rsidRPr="00B77D57" w14:paraId="57509DCC" w14:textId="77777777" w:rsidTr="002334DF">
        <w:tc>
          <w:tcPr>
            <w:tcW w:w="7645" w:type="dxa"/>
          </w:tcPr>
          <w:p w14:paraId="0BCF87C9" w14:textId="77777777" w:rsidR="00A3194C" w:rsidRPr="00B77D57" w:rsidRDefault="00A3194C" w:rsidP="002334DF">
            <w:pPr>
              <w:pStyle w:val="NoSpacing"/>
              <w:numPr>
                <w:ilvl w:val="1"/>
                <w:numId w:val="13"/>
              </w:numPr>
              <w:ind w:left="966" w:hanging="540"/>
              <w:jc w:val="both"/>
              <w:rPr>
                <w:rFonts w:ascii="Arial" w:hAnsi="Arial" w:cs="Arial"/>
                <w:sz w:val="24"/>
                <w:szCs w:val="24"/>
              </w:rPr>
            </w:pPr>
            <w:r w:rsidRPr="00B77D57">
              <w:rPr>
                <w:rFonts w:ascii="Arial" w:hAnsi="Arial" w:cs="Arial"/>
                <w:sz w:val="24"/>
                <w:szCs w:val="24"/>
              </w:rPr>
              <w:t xml:space="preserve">Ensure adherence of the </w:t>
            </w:r>
            <w:proofErr w:type="spellStart"/>
            <w:r w:rsidRPr="00B77D57">
              <w:rPr>
                <w:rFonts w:ascii="Arial" w:hAnsi="Arial" w:cs="Arial"/>
                <w:sz w:val="24"/>
                <w:szCs w:val="24"/>
              </w:rPr>
              <w:t>GenCo</w:t>
            </w:r>
            <w:proofErr w:type="spellEnd"/>
            <w:r w:rsidRPr="00B77D57">
              <w:rPr>
                <w:rFonts w:ascii="Arial" w:hAnsi="Arial" w:cs="Arial"/>
                <w:sz w:val="24"/>
                <w:szCs w:val="24"/>
              </w:rPr>
              <w:t xml:space="preserve"> to the WESM Rules and Manuals until its application for deregistration is decided.</w:t>
            </w:r>
          </w:p>
        </w:tc>
        <w:tc>
          <w:tcPr>
            <w:tcW w:w="5533" w:type="dxa"/>
          </w:tcPr>
          <w:p w14:paraId="3398E643" w14:textId="77777777" w:rsidR="00A3194C" w:rsidRPr="00B77D57" w:rsidRDefault="00A3194C" w:rsidP="002334DF"/>
        </w:tc>
        <w:tc>
          <w:tcPr>
            <w:tcW w:w="4820" w:type="dxa"/>
          </w:tcPr>
          <w:p w14:paraId="0BC673AE" w14:textId="77777777" w:rsidR="00A3194C" w:rsidRPr="00B77D57" w:rsidRDefault="00A3194C" w:rsidP="002334DF"/>
        </w:tc>
      </w:tr>
      <w:tr w:rsidR="00A3194C" w:rsidRPr="00B77D57" w14:paraId="267E91D4" w14:textId="77777777" w:rsidTr="002334DF">
        <w:tc>
          <w:tcPr>
            <w:tcW w:w="7645" w:type="dxa"/>
          </w:tcPr>
          <w:p w14:paraId="4AC26ECE" w14:textId="77777777" w:rsidR="00A3194C" w:rsidRPr="00B77D57" w:rsidRDefault="00A3194C" w:rsidP="002334DF">
            <w:pPr>
              <w:pStyle w:val="NoSpacing"/>
              <w:jc w:val="both"/>
              <w:rPr>
                <w:rFonts w:ascii="Arial" w:hAnsi="Arial" w:cs="Arial"/>
                <w:sz w:val="24"/>
                <w:szCs w:val="24"/>
              </w:rPr>
            </w:pPr>
            <w:r w:rsidRPr="00B77D57">
              <w:rPr>
                <w:rFonts w:ascii="Arial" w:hAnsi="Arial" w:cs="Arial"/>
                <w:b/>
                <w:bCs/>
                <w:sz w:val="24"/>
                <w:szCs w:val="24"/>
              </w:rPr>
              <w:t xml:space="preserve">Section 9. Responsibility of the NSP and SGSO. </w:t>
            </w:r>
            <w:r w:rsidRPr="00B77D57">
              <w:rPr>
                <w:rFonts w:ascii="Arial" w:hAnsi="Arial" w:cs="Arial"/>
                <w:sz w:val="24"/>
                <w:szCs w:val="24"/>
              </w:rPr>
              <w:t>The NSP, and SGSO shall be responsible for the following:</w:t>
            </w:r>
          </w:p>
          <w:p w14:paraId="2021AA8E" w14:textId="77777777" w:rsidR="00A3194C" w:rsidRPr="00B77D57" w:rsidRDefault="00A3194C" w:rsidP="002334DF">
            <w:pPr>
              <w:pStyle w:val="ListParagraph"/>
              <w:numPr>
                <w:ilvl w:val="0"/>
                <w:numId w:val="14"/>
              </w:numPr>
              <w:ind w:left="1080" w:hanging="630"/>
            </w:pPr>
            <w:r w:rsidRPr="00B77D57">
              <w:t>Formulate and/or amend, as necessary, connection and disconnection procedures in consideration of this Circular;</w:t>
            </w:r>
          </w:p>
        </w:tc>
        <w:tc>
          <w:tcPr>
            <w:tcW w:w="5533" w:type="dxa"/>
          </w:tcPr>
          <w:p w14:paraId="4698DBA2" w14:textId="77777777" w:rsidR="00A3194C" w:rsidRPr="00B77D57" w:rsidRDefault="00A3194C" w:rsidP="002334DF"/>
        </w:tc>
        <w:tc>
          <w:tcPr>
            <w:tcW w:w="4820" w:type="dxa"/>
          </w:tcPr>
          <w:p w14:paraId="712EABB7" w14:textId="77777777" w:rsidR="00A3194C" w:rsidRPr="00B77D57" w:rsidRDefault="00A3194C" w:rsidP="002334DF"/>
        </w:tc>
      </w:tr>
      <w:tr w:rsidR="00A3194C" w:rsidRPr="00B77D57" w14:paraId="50090E1B" w14:textId="77777777" w:rsidTr="002334DF">
        <w:tc>
          <w:tcPr>
            <w:tcW w:w="7645" w:type="dxa"/>
          </w:tcPr>
          <w:p w14:paraId="60AD3FB7" w14:textId="77777777" w:rsidR="00A3194C" w:rsidRPr="00B77D57" w:rsidRDefault="00A3194C" w:rsidP="002334DF">
            <w:pPr>
              <w:pStyle w:val="ListParagraph"/>
              <w:numPr>
                <w:ilvl w:val="0"/>
                <w:numId w:val="14"/>
              </w:numPr>
              <w:ind w:left="1080" w:hanging="630"/>
            </w:pPr>
            <w:r w:rsidRPr="00B77D57">
              <w:t>Facilitate and assist the generating plant or unit owner relative to the decommissioning or mothballing and other activities relevant thereto; and</w:t>
            </w:r>
          </w:p>
        </w:tc>
        <w:tc>
          <w:tcPr>
            <w:tcW w:w="5533" w:type="dxa"/>
          </w:tcPr>
          <w:p w14:paraId="7172372E" w14:textId="77777777" w:rsidR="00A3194C" w:rsidRPr="00B77D57" w:rsidRDefault="00A3194C" w:rsidP="002334DF"/>
        </w:tc>
        <w:tc>
          <w:tcPr>
            <w:tcW w:w="4820" w:type="dxa"/>
          </w:tcPr>
          <w:p w14:paraId="45BBC889" w14:textId="77777777" w:rsidR="00A3194C" w:rsidRPr="00B77D57" w:rsidRDefault="00A3194C" w:rsidP="002334DF"/>
        </w:tc>
      </w:tr>
      <w:tr w:rsidR="00A3194C" w:rsidRPr="00B77D57" w14:paraId="49C56532" w14:textId="77777777" w:rsidTr="002334DF">
        <w:tc>
          <w:tcPr>
            <w:tcW w:w="7645" w:type="dxa"/>
          </w:tcPr>
          <w:p w14:paraId="066EEF97" w14:textId="77777777" w:rsidR="00A3194C" w:rsidRPr="00B77D57" w:rsidRDefault="00A3194C" w:rsidP="002334DF">
            <w:pPr>
              <w:pStyle w:val="ListParagraph"/>
              <w:numPr>
                <w:ilvl w:val="0"/>
                <w:numId w:val="14"/>
              </w:numPr>
              <w:ind w:left="1080" w:hanging="630"/>
              <w:rPr>
                <w:b/>
                <w:bCs/>
                <w:szCs w:val="24"/>
              </w:rPr>
            </w:pPr>
            <w:r w:rsidRPr="00B77D57">
              <w:t xml:space="preserve">Continue to maintain the connection asset where the mothballed generating plant or unit is connected, provided that the same is included in the Regulatory Asset Base approved by the ERC. </w:t>
            </w:r>
          </w:p>
        </w:tc>
        <w:tc>
          <w:tcPr>
            <w:tcW w:w="5533" w:type="dxa"/>
          </w:tcPr>
          <w:p w14:paraId="68EA15CC" w14:textId="77777777" w:rsidR="00A3194C" w:rsidRPr="00B77D57" w:rsidRDefault="00A3194C" w:rsidP="002334DF"/>
        </w:tc>
        <w:tc>
          <w:tcPr>
            <w:tcW w:w="4820" w:type="dxa"/>
          </w:tcPr>
          <w:p w14:paraId="775317CF" w14:textId="77777777" w:rsidR="00A3194C" w:rsidRPr="00B77D57" w:rsidRDefault="00A3194C" w:rsidP="002334DF"/>
        </w:tc>
      </w:tr>
      <w:tr w:rsidR="00A3194C" w:rsidRPr="00B77D57" w14:paraId="58239BAE" w14:textId="77777777" w:rsidTr="002334DF">
        <w:tc>
          <w:tcPr>
            <w:tcW w:w="7645" w:type="dxa"/>
          </w:tcPr>
          <w:p w14:paraId="34C818E4" w14:textId="77777777" w:rsidR="00A3194C" w:rsidRPr="00B77D57" w:rsidRDefault="00A3194C" w:rsidP="002334DF">
            <w:r w:rsidRPr="00B77D57">
              <w:rPr>
                <w:b/>
              </w:rPr>
              <w:t xml:space="preserve">Section 10. Regulatory Support. </w:t>
            </w:r>
            <w:r w:rsidRPr="00B77D57">
              <w:rPr>
                <w:bCs/>
              </w:rPr>
              <w:t xml:space="preserve">The ERC shall </w:t>
            </w:r>
            <w:r w:rsidRPr="00B77D57">
              <w:t>review, update, and harmonize, as necessary, all resolutions and regulations relevant to the implementation of the policies stated under this circular and promulgate guidelines on the same, including the appropriate action on Certificate of Compliance as applicable to decommissioning and mothballing.</w:t>
            </w:r>
          </w:p>
        </w:tc>
        <w:tc>
          <w:tcPr>
            <w:tcW w:w="5533" w:type="dxa"/>
          </w:tcPr>
          <w:p w14:paraId="7B6FA19D" w14:textId="77777777" w:rsidR="00A3194C" w:rsidRPr="00B77D57" w:rsidRDefault="00A3194C" w:rsidP="002334DF"/>
        </w:tc>
        <w:tc>
          <w:tcPr>
            <w:tcW w:w="4820" w:type="dxa"/>
          </w:tcPr>
          <w:p w14:paraId="04980C7C" w14:textId="77777777" w:rsidR="00A3194C" w:rsidRPr="00B77D57" w:rsidRDefault="00A3194C" w:rsidP="002334DF"/>
        </w:tc>
      </w:tr>
      <w:tr w:rsidR="00A3194C" w:rsidRPr="00B77D57" w14:paraId="423C448E" w14:textId="77777777" w:rsidTr="002334DF">
        <w:tc>
          <w:tcPr>
            <w:tcW w:w="7645" w:type="dxa"/>
          </w:tcPr>
          <w:p w14:paraId="6918499C" w14:textId="77777777" w:rsidR="00A3194C" w:rsidRPr="00B77D57" w:rsidRDefault="00A3194C" w:rsidP="002334DF">
            <w:r w:rsidRPr="00B77D57">
              <w:t>The ERC shall implement the enforcement and penalty mechanisms in cases of non-compliance with this Circular by any electric power industry participant identified herein after due process.</w:t>
            </w:r>
          </w:p>
        </w:tc>
        <w:tc>
          <w:tcPr>
            <w:tcW w:w="5533" w:type="dxa"/>
          </w:tcPr>
          <w:p w14:paraId="63CCD8FC" w14:textId="77777777" w:rsidR="00A3194C" w:rsidRPr="00B77D57" w:rsidRDefault="00A3194C" w:rsidP="002334DF"/>
        </w:tc>
        <w:tc>
          <w:tcPr>
            <w:tcW w:w="4820" w:type="dxa"/>
          </w:tcPr>
          <w:p w14:paraId="44AD2A4A" w14:textId="77777777" w:rsidR="00A3194C" w:rsidRPr="00B77D57" w:rsidRDefault="00A3194C" w:rsidP="002334DF"/>
        </w:tc>
      </w:tr>
      <w:tr w:rsidR="00A3194C" w:rsidRPr="00B77D57" w14:paraId="210A608E" w14:textId="77777777" w:rsidTr="002334DF">
        <w:tc>
          <w:tcPr>
            <w:tcW w:w="7645" w:type="dxa"/>
          </w:tcPr>
          <w:p w14:paraId="1D1ED61A" w14:textId="77777777" w:rsidR="00A3194C" w:rsidRPr="00B77D57" w:rsidRDefault="00A3194C" w:rsidP="002334DF">
            <w:r w:rsidRPr="00B77D57">
              <w:t>The ERC shall monitor and take measures in accordance with its function to penalize abuse of market power, cartelization, and anti-competitive or discriminatory behavior by any electric power industry participant.</w:t>
            </w:r>
          </w:p>
        </w:tc>
        <w:tc>
          <w:tcPr>
            <w:tcW w:w="5533" w:type="dxa"/>
          </w:tcPr>
          <w:p w14:paraId="4308671B" w14:textId="77777777" w:rsidR="00A3194C" w:rsidRPr="00B77D57" w:rsidRDefault="00A3194C" w:rsidP="002334DF"/>
        </w:tc>
        <w:tc>
          <w:tcPr>
            <w:tcW w:w="4820" w:type="dxa"/>
          </w:tcPr>
          <w:p w14:paraId="34685179" w14:textId="77777777" w:rsidR="00A3194C" w:rsidRPr="00B77D57" w:rsidRDefault="00A3194C" w:rsidP="002334DF"/>
        </w:tc>
      </w:tr>
      <w:tr w:rsidR="00A3194C" w:rsidRPr="00B77D57" w14:paraId="03AC0A29" w14:textId="77777777" w:rsidTr="002334DF">
        <w:tc>
          <w:tcPr>
            <w:tcW w:w="7645" w:type="dxa"/>
          </w:tcPr>
          <w:p w14:paraId="2626FA02" w14:textId="77777777" w:rsidR="00A3194C" w:rsidRPr="00B77D57" w:rsidRDefault="00A3194C" w:rsidP="002334DF">
            <w:pPr>
              <w:rPr>
                <w:bCs/>
              </w:rPr>
            </w:pPr>
            <w:r w:rsidRPr="00B77D57">
              <w:rPr>
                <w:b/>
              </w:rPr>
              <w:t xml:space="preserve">Section 11. Repealing Clause. </w:t>
            </w:r>
            <w:r w:rsidRPr="00B77D57">
              <w:rPr>
                <w:bCs/>
              </w:rPr>
              <w:t>All rules and regulations, or any portion thereof, that are inconsistent with this circular are hereby repealed or modified accordingly.</w:t>
            </w:r>
          </w:p>
          <w:p w14:paraId="4051F113" w14:textId="77777777" w:rsidR="00A3194C" w:rsidRPr="00B77D57" w:rsidRDefault="00A3194C" w:rsidP="002334DF"/>
        </w:tc>
        <w:tc>
          <w:tcPr>
            <w:tcW w:w="5533" w:type="dxa"/>
          </w:tcPr>
          <w:p w14:paraId="229A3148" w14:textId="77777777" w:rsidR="00A3194C" w:rsidRPr="00B77D57" w:rsidRDefault="00A3194C" w:rsidP="002334DF"/>
        </w:tc>
        <w:tc>
          <w:tcPr>
            <w:tcW w:w="4820" w:type="dxa"/>
          </w:tcPr>
          <w:p w14:paraId="106166A9" w14:textId="77777777" w:rsidR="00A3194C" w:rsidRPr="00B77D57" w:rsidRDefault="00A3194C" w:rsidP="002334DF"/>
        </w:tc>
      </w:tr>
      <w:tr w:rsidR="00A3194C" w:rsidRPr="00B77D57" w14:paraId="1BC483BC" w14:textId="77777777" w:rsidTr="002334DF">
        <w:tc>
          <w:tcPr>
            <w:tcW w:w="7645" w:type="dxa"/>
          </w:tcPr>
          <w:p w14:paraId="7A0E732D" w14:textId="77777777" w:rsidR="00A3194C" w:rsidRPr="00B77D57" w:rsidRDefault="00A3194C" w:rsidP="002334DF">
            <w:pPr>
              <w:rPr>
                <w:b/>
              </w:rPr>
            </w:pPr>
            <w:r w:rsidRPr="00B77D57">
              <w:rPr>
                <w:b/>
              </w:rPr>
              <w:t>Section 12. Separability Clause.</w:t>
            </w:r>
            <w:r w:rsidRPr="00B77D57">
              <w:rPr>
                <w:bCs/>
              </w:rPr>
              <w:t xml:space="preserve"> If for any reason, any section or provision of this Circular is declared unconstitutional or invalid, the other parts or provisions hereof are not affected thereby shall continue to be in full force and effect.</w:t>
            </w:r>
            <w:r w:rsidRPr="00B77D57">
              <w:rPr>
                <w:b/>
              </w:rPr>
              <w:t xml:space="preserve"> </w:t>
            </w:r>
          </w:p>
        </w:tc>
        <w:tc>
          <w:tcPr>
            <w:tcW w:w="5533" w:type="dxa"/>
          </w:tcPr>
          <w:p w14:paraId="17656C9A" w14:textId="77777777" w:rsidR="00A3194C" w:rsidRPr="00B77D57" w:rsidRDefault="00A3194C" w:rsidP="002334DF"/>
        </w:tc>
        <w:tc>
          <w:tcPr>
            <w:tcW w:w="4820" w:type="dxa"/>
          </w:tcPr>
          <w:p w14:paraId="29040F1D" w14:textId="77777777" w:rsidR="00A3194C" w:rsidRPr="00B77D57" w:rsidRDefault="00A3194C" w:rsidP="002334DF"/>
        </w:tc>
      </w:tr>
      <w:tr w:rsidR="00A3194C" w:rsidRPr="00457690" w14:paraId="264F3565" w14:textId="77777777" w:rsidTr="002334DF">
        <w:tc>
          <w:tcPr>
            <w:tcW w:w="7645" w:type="dxa"/>
          </w:tcPr>
          <w:p w14:paraId="5CFE7F9D" w14:textId="77777777" w:rsidR="00A3194C" w:rsidRPr="00F100D4" w:rsidRDefault="00A3194C" w:rsidP="002334DF">
            <w:pPr>
              <w:rPr>
                <w:bCs/>
              </w:rPr>
            </w:pPr>
            <w:r w:rsidRPr="00B77D57">
              <w:rPr>
                <w:b/>
              </w:rPr>
              <w:t xml:space="preserve">Section 13. Effectivity. </w:t>
            </w:r>
            <w:r w:rsidRPr="00B77D57">
              <w:rPr>
                <w:bCs/>
              </w:rPr>
              <w:t>This Department Circular shall take effect fifteen (15) days after its publication in two (2) newspapers of general circulation. Copies of this Circular shall be filed with the University of the Philippines Law Center-Office of the National Administrative Register.</w:t>
            </w:r>
          </w:p>
        </w:tc>
        <w:tc>
          <w:tcPr>
            <w:tcW w:w="5533" w:type="dxa"/>
          </w:tcPr>
          <w:p w14:paraId="2A728C58" w14:textId="77777777" w:rsidR="00A3194C" w:rsidRPr="00E207E7" w:rsidRDefault="00A3194C" w:rsidP="002334DF"/>
        </w:tc>
        <w:tc>
          <w:tcPr>
            <w:tcW w:w="4820" w:type="dxa"/>
          </w:tcPr>
          <w:p w14:paraId="077ECB70" w14:textId="77777777" w:rsidR="00A3194C" w:rsidRPr="00E207E7" w:rsidRDefault="00A3194C" w:rsidP="002334DF"/>
        </w:tc>
      </w:tr>
    </w:tbl>
    <w:p w14:paraId="00000164" w14:textId="47B3E9FC" w:rsidR="004D6EC1" w:rsidRDefault="004D6EC1" w:rsidP="00457690">
      <w:bookmarkStart w:id="0" w:name="_heading=h.gjdgxs" w:colFirst="0" w:colLast="0"/>
      <w:bookmarkEnd w:id="0"/>
    </w:p>
    <w:p w14:paraId="5C244947" w14:textId="77777777" w:rsidR="009A3AD8" w:rsidRDefault="009A3AD8" w:rsidP="00457690"/>
    <w:sectPr w:rsidR="009A3AD8" w:rsidSect="00101A89">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152" w:right="1296" w:bottom="1152" w:left="1008" w:header="397"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1365" w14:textId="77777777" w:rsidR="00951630" w:rsidRDefault="00951630">
      <w:r>
        <w:separator/>
      </w:r>
    </w:p>
  </w:endnote>
  <w:endnote w:type="continuationSeparator" w:id="0">
    <w:p w14:paraId="346C16D3" w14:textId="77777777" w:rsidR="00951630" w:rsidRDefault="0095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B" w14:textId="77777777" w:rsidR="004D6EC1" w:rsidRDefault="004D6E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F" w14:textId="3AF60B10" w:rsidR="004D6EC1" w:rsidRPr="002334DF" w:rsidRDefault="002334DF" w:rsidP="002334DF">
    <w:pPr>
      <w:pBdr>
        <w:top w:val="single" w:sz="4" w:space="1" w:color="000000"/>
        <w:left w:val="nil"/>
        <w:bottom w:val="nil"/>
        <w:right w:val="nil"/>
        <w:between w:val="nil"/>
      </w:pBdr>
      <w:tabs>
        <w:tab w:val="center" w:pos="4680"/>
        <w:tab w:val="right" w:pos="9360"/>
      </w:tabs>
      <w:rPr>
        <w:i/>
        <w:color w:val="000000"/>
        <w:sz w:val="18"/>
        <w:szCs w:val="18"/>
      </w:rPr>
    </w:pPr>
    <w:r w:rsidRPr="002334DF">
      <w:rPr>
        <w:i/>
        <w:color w:val="000000"/>
        <w:sz w:val="18"/>
        <w:szCs w:val="18"/>
      </w:rPr>
      <w:t>DRAFT DEPARTMENT CIRCULAR ENTITLED, “IMPLEMENTING GUIDELINES FOR THE DECOMMISSIONING AND MOTHBALLING OF GENERATING PLANT OR UNIT PURSUANT TO SECTION 2.8 OF DOE DEPARTMENT CIRCULAR (DC) NO. DC2010-03-0003”</w:t>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b/>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color w:val="000000"/>
        <w:sz w:val="18"/>
        <w:szCs w:val="18"/>
      </w:rPr>
      <w:t>1</w:t>
    </w:r>
    <w:r>
      <w:rPr>
        <w:b/>
        <w:color w:val="000000"/>
        <w:sz w:val="18"/>
        <w:szCs w:val="18"/>
      </w:rPr>
      <w:fldChar w:fldCharType="end"/>
    </w:r>
    <w:r>
      <w:rPr>
        <w:b/>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color w:val="000000"/>
        <w:sz w:val="18"/>
        <w:szCs w:val="18"/>
      </w:rPr>
      <w:t>12</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2CA41147" w:rsidR="004D6EC1" w:rsidRPr="002334DF" w:rsidRDefault="002334DF">
    <w:pPr>
      <w:pBdr>
        <w:top w:val="single" w:sz="4" w:space="1" w:color="000000"/>
        <w:left w:val="nil"/>
        <w:bottom w:val="nil"/>
        <w:right w:val="nil"/>
        <w:between w:val="nil"/>
      </w:pBdr>
      <w:tabs>
        <w:tab w:val="center" w:pos="4680"/>
        <w:tab w:val="right" w:pos="9360"/>
      </w:tabs>
      <w:rPr>
        <w:i/>
        <w:color w:val="000000"/>
        <w:sz w:val="18"/>
        <w:szCs w:val="18"/>
      </w:rPr>
    </w:pPr>
    <w:r w:rsidRPr="002334DF">
      <w:rPr>
        <w:i/>
        <w:color w:val="000000"/>
        <w:sz w:val="18"/>
        <w:szCs w:val="18"/>
      </w:rPr>
      <w:t>DRAFT DEPARTMENT CIRCULAR ENTITLED, “IMPLEMENTING GUIDELINES FOR THE DECOMMISSIONING AND MOTHBALLING OF GENERATING PLANT OR UNIT PURSUANT TO SECTION 2.8 OF DOE DEPARTMENT CIRCULAR (DC) NO. DC2010-03-0003”</w:t>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Pr>
        <w:i/>
        <w:color w:val="000000"/>
        <w:sz w:val="18"/>
        <w:szCs w:val="18"/>
      </w:rPr>
      <w:tab/>
    </w:r>
    <w:r w:rsidR="001C4065">
      <w:rPr>
        <w:b/>
        <w:color w:val="000000"/>
        <w:sz w:val="18"/>
        <w:szCs w:val="18"/>
      </w:rPr>
      <w:t xml:space="preserve">Page </w:t>
    </w:r>
    <w:r w:rsidR="001C4065">
      <w:rPr>
        <w:b/>
        <w:color w:val="000000"/>
        <w:sz w:val="18"/>
        <w:szCs w:val="18"/>
      </w:rPr>
      <w:fldChar w:fldCharType="begin"/>
    </w:r>
    <w:r w:rsidR="001C4065">
      <w:rPr>
        <w:b/>
        <w:color w:val="000000"/>
        <w:sz w:val="18"/>
        <w:szCs w:val="18"/>
      </w:rPr>
      <w:instrText>PAGE</w:instrText>
    </w:r>
    <w:r w:rsidR="001C4065">
      <w:rPr>
        <w:b/>
        <w:color w:val="000000"/>
        <w:sz w:val="18"/>
        <w:szCs w:val="18"/>
      </w:rPr>
      <w:fldChar w:fldCharType="separate"/>
    </w:r>
    <w:r w:rsidR="00242D4E">
      <w:rPr>
        <w:b/>
        <w:noProof/>
        <w:color w:val="000000"/>
        <w:sz w:val="18"/>
        <w:szCs w:val="18"/>
      </w:rPr>
      <w:t>1</w:t>
    </w:r>
    <w:r w:rsidR="001C4065">
      <w:rPr>
        <w:b/>
        <w:color w:val="000000"/>
        <w:sz w:val="18"/>
        <w:szCs w:val="18"/>
      </w:rPr>
      <w:fldChar w:fldCharType="end"/>
    </w:r>
    <w:r w:rsidR="001C4065">
      <w:rPr>
        <w:b/>
        <w:color w:val="000000"/>
        <w:sz w:val="18"/>
        <w:szCs w:val="18"/>
      </w:rPr>
      <w:t xml:space="preserve"> of </w:t>
    </w:r>
    <w:r w:rsidR="001C4065">
      <w:rPr>
        <w:b/>
        <w:color w:val="000000"/>
        <w:sz w:val="18"/>
        <w:szCs w:val="18"/>
      </w:rPr>
      <w:fldChar w:fldCharType="begin"/>
    </w:r>
    <w:r w:rsidR="001C4065">
      <w:rPr>
        <w:b/>
        <w:color w:val="000000"/>
        <w:sz w:val="18"/>
        <w:szCs w:val="18"/>
      </w:rPr>
      <w:instrText>NUMPAGES</w:instrText>
    </w:r>
    <w:r w:rsidR="001C4065">
      <w:rPr>
        <w:b/>
        <w:color w:val="000000"/>
        <w:sz w:val="18"/>
        <w:szCs w:val="18"/>
      </w:rPr>
      <w:fldChar w:fldCharType="separate"/>
    </w:r>
    <w:r w:rsidR="00242D4E">
      <w:rPr>
        <w:b/>
        <w:noProof/>
        <w:color w:val="000000"/>
        <w:sz w:val="18"/>
        <w:szCs w:val="18"/>
      </w:rPr>
      <w:t>2</w:t>
    </w:r>
    <w:r w:rsidR="001C4065">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CA7F" w14:textId="77777777" w:rsidR="00951630" w:rsidRDefault="00951630">
      <w:r>
        <w:separator/>
      </w:r>
    </w:p>
  </w:footnote>
  <w:footnote w:type="continuationSeparator" w:id="0">
    <w:p w14:paraId="6CB82740" w14:textId="77777777" w:rsidR="00951630" w:rsidRDefault="00951630">
      <w:r>
        <w:continuationSeparator/>
      </w:r>
    </w:p>
  </w:footnote>
  <w:footnote w:id="1">
    <w:p w14:paraId="308733C2" w14:textId="77777777" w:rsidR="002334DF" w:rsidRDefault="002334DF" w:rsidP="002334DF">
      <w:pPr>
        <w:pStyle w:val="FootnoteText"/>
        <w:jc w:val="both"/>
        <w:rPr>
          <w:lang w:eastAsia="zh-CN"/>
        </w:rPr>
      </w:pPr>
      <w:r>
        <w:rPr>
          <w:rStyle w:val="FootnoteReference"/>
        </w:rPr>
        <w:footnoteRef/>
      </w:r>
      <w:r>
        <w:t xml:space="preserve"> Directing all Power Generation Companies, the Transmission Service Provider, and all Distribution Utilities to Ensure Adequate and Reliable Electric Power Supply in the Country.</w:t>
      </w:r>
    </w:p>
  </w:footnote>
  <w:footnote w:id="2">
    <w:p w14:paraId="47C035E3" w14:textId="77777777" w:rsidR="00A3194C" w:rsidRPr="00A75EE8" w:rsidRDefault="00A3194C" w:rsidP="00A3194C">
      <w:pPr>
        <w:pStyle w:val="FootnoteText"/>
        <w:jc w:val="both"/>
      </w:pPr>
      <w:r w:rsidRPr="006B51BF">
        <w:rPr>
          <w:rStyle w:val="FootnoteReference"/>
        </w:rPr>
        <w:footnoteRef/>
      </w:r>
      <w:r w:rsidRPr="006B51BF">
        <w:t xml:space="preserve"> Providing Guidelines on the Planned Outage Schedules of Power Plants and Transmission Facilities and the Public Posting of the Grid Operating and Maintenance Program (GOMP).</w:t>
      </w:r>
    </w:p>
  </w:footnote>
  <w:footnote w:id="3">
    <w:p w14:paraId="33E02945" w14:textId="77777777" w:rsidR="00A3194C" w:rsidRPr="006B51BF" w:rsidRDefault="00A3194C" w:rsidP="00A3194C">
      <w:pPr>
        <w:pStyle w:val="FootnoteText"/>
        <w:jc w:val="both"/>
        <w:rPr>
          <w:lang w:val="en-PH"/>
        </w:rPr>
      </w:pPr>
      <w:r w:rsidRPr="006B51BF">
        <w:rPr>
          <w:rStyle w:val="FootnoteReference"/>
        </w:rPr>
        <w:footnoteRef/>
      </w:r>
      <w:r w:rsidRPr="006B51BF">
        <w:t xml:space="preserve"> Toxic Substances and Hazardous and Nuclear Wastes Control Act of 1990</w:t>
      </w:r>
    </w:p>
  </w:footnote>
  <w:footnote w:id="4">
    <w:p w14:paraId="399C13CF" w14:textId="77777777" w:rsidR="00A3194C" w:rsidRPr="006B51BF" w:rsidRDefault="00A3194C" w:rsidP="00A3194C">
      <w:pPr>
        <w:pStyle w:val="FootnoteText"/>
        <w:jc w:val="both"/>
        <w:rPr>
          <w:lang w:val="en-PH"/>
        </w:rPr>
      </w:pPr>
      <w:r w:rsidRPr="006B51BF">
        <w:rPr>
          <w:rStyle w:val="FootnoteReference"/>
        </w:rPr>
        <w:footnoteRef/>
      </w:r>
      <w:r w:rsidRPr="006B51BF">
        <w:t xml:space="preserve"> Philippine Clean Air Act of 1999</w:t>
      </w:r>
    </w:p>
  </w:footnote>
  <w:footnote w:id="5">
    <w:p w14:paraId="33B0BA93" w14:textId="77777777" w:rsidR="00A3194C" w:rsidRPr="006B51BF" w:rsidRDefault="00A3194C" w:rsidP="00A3194C">
      <w:pPr>
        <w:pStyle w:val="FootnoteText"/>
        <w:jc w:val="both"/>
        <w:rPr>
          <w:lang w:val="en-PH"/>
        </w:rPr>
      </w:pPr>
      <w:r w:rsidRPr="006B51BF">
        <w:rPr>
          <w:rStyle w:val="FootnoteReference"/>
        </w:rPr>
        <w:footnoteRef/>
      </w:r>
      <w:r w:rsidRPr="006B51BF">
        <w:t xml:space="preserve"> Ecological Solid Waste Management Act of 2000</w:t>
      </w:r>
    </w:p>
  </w:footnote>
  <w:footnote w:id="6">
    <w:p w14:paraId="1DF27318" w14:textId="77777777" w:rsidR="00A3194C" w:rsidRPr="00A75EE8" w:rsidRDefault="00A3194C" w:rsidP="00A3194C">
      <w:pPr>
        <w:pStyle w:val="FootnoteText"/>
        <w:jc w:val="both"/>
        <w:rPr>
          <w:lang w:val="en-PH"/>
        </w:rPr>
      </w:pPr>
      <w:r w:rsidRPr="006B51BF">
        <w:rPr>
          <w:rStyle w:val="FootnoteReference"/>
        </w:rPr>
        <w:footnoteRef/>
      </w:r>
      <w:r w:rsidRPr="006B51BF">
        <w:t xml:space="preserve"> Philippine Clean Water Act of 2004</w:t>
      </w:r>
    </w:p>
  </w:footnote>
  <w:footnote w:id="7">
    <w:p w14:paraId="79362373" w14:textId="77777777" w:rsidR="00A3194C" w:rsidRPr="00A75EE8" w:rsidRDefault="00A3194C" w:rsidP="00A3194C">
      <w:pPr>
        <w:pStyle w:val="FootnoteText"/>
        <w:jc w:val="both"/>
      </w:pPr>
      <w:r w:rsidRPr="00A75EE8">
        <w:rPr>
          <w:rStyle w:val="FootnoteReference"/>
        </w:rPr>
        <w:footnoteRef/>
      </w:r>
      <w:r w:rsidRPr="00A75EE8">
        <w:t xml:space="preserve"> </w:t>
      </w:r>
      <w:r w:rsidRPr="006B51BF">
        <w:t>Adopting the Various Wholesale Electricity Spot Market (WESM) Market Manuals and their further Amendments for the Implementation of Must Dispatch and Priority Dispatch Generating Units in the WESM</w:t>
      </w:r>
    </w:p>
  </w:footnote>
  <w:footnote w:id="8">
    <w:p w14:paraId="2CFAFAC6" w14:textId="77777777" w:rsidR="00A3194C" w:rsidRPr="00A75EE8" w:rsidRDefault="00A3194C" w:rsidP="00A3194C">
      <w:pPr>
        <w:pStyle w:val="NoSpacing"/>
        <w:jc w:val="both"/>
        <w:rPr>
          <w:sz w:val="20"/>
          <w:szCs w:val="20"/>
        </w:rPr>
      </w:pPr>
      <w:r w:rsidRPr="00A75EE8">
        <w:rPr>
          <w:sz w:val="20"/>
          <w:szCs w:val="20"/>
          <w:vertAlign w:val="superscript"/>
        </w:rPr>
        <w:footnoteRef/>
      </w:r>
      <w:r w:rsidRPr="00A75EE8">
        <w:rPr>
          <w:sz w:val="20"/>
          <w:szCs w:val="20"/>
        </w:rPr>
        <w:t xml:space="preserve"> OATS Rule</w:t>
      </w:r>
    </w:p>
  </w:footnote>
  <w:footnote w:id="9">
    <w:p w14:paraId="33734B7B" w14:textId="77777777" w:rsidR="00A3194C" w:rsidRPr="00A75EE8" w:rsidRDefault="00A3194C" w:rsidP="00A3194C">
      <w:pPr>
        <w:pStyle w:val="NoSpacing"/>
        <w:jc w:val="both"/>
        <w:rPr>
          <w:sz w:val="20"/>
          <w:szCs w:val="20"/>
        </w:rPr>
      </w:pPr>
      <w:r w:rsidRPr="00A75EE8">
        <w:rPr>
          <w:rStyle w:val="FootnoteReference"/>
          <w:sz w:val="20"/>
          <w:szCs w:val="20"/>
        </w:rPr>
        <w:footnoteRef/>
      </w:r>
      <w:r w:rsidRPr="00A75EE8">
        <w:rPr>
          <w:sz w:val="20"/>
          <w:szCs w:val="20"/>
        </w:rPr>
        <w:t xml:space="preserve"> WESM Rules</w:t>
      </w:r>
    </w:p>
  </w:footnote>
  <w:footnote w:id="10">
    <w:p w14:paraId="69238772" w14:textId="77777777" w:rsidR="00A3194C" w:rsidRPr="00A75EE8" w:rsidRDefault="00A3194C" w:rsidP="00A3194C">
      <w:pPr>
        <w:pStyle w:val="NoSpacing"/>
        <w:jc w:val="both"/>
        <w:rPr>
          <w:rFonts w:ascii="Times New Roman" w:eastAsia="SimSun" w:hAnsi="Times New Roman"/>
          <w:sz w:val="20"/>
          <w:szCs w:val="20"/>
          <w:lang w:val="en-US" w:eastAsia="zh-CN"/>
        </w:rPr>
      </w:pPr>
      <w:r w:rsidRPr="00A75EE8">
        <w:rPr>
          <w:rFonts w:ascii="Times New Roman" w:eastAsia="SimSun" w:hAnsi="Times New Roman"/>
          <w:sz w:val="20"/>
          <w:szCs w:val="20"/>
          <w:vertAlign w:val="superscript"/>
          <w:lang w:val="en-US" w:eastAsia="zh-CN"/>
        </w:rPr>
        <w:footnoteRef/>
      </w:r>
      <w:r w:rsidRPr="00A75EE8">
        <w:rPr>
          <w:rFonts w:ascii="Times New Roman" w:eastAsia="SimSun" w:hAnsi="Times New Roman"/>
          <w:sz w:val="20"/>
          <w:szCs w:val="20"/>
          <w:vertAlign w:val="superscript"/>
          <w:lang w:val="en-US" w:eastAsia="zh-CN"/>
        </w:rPr>
        <w:t xml:space="preserve"> </w:t>
      </w:r>
      <w:r w:rsidRPr="00A75EE8">
        <w:rPr>
          <w:rFonts w:ascii="Times New Roman" w:eastAsia="SimSun" w:hAnsi="Times New Roman"/>
          <w:sz w:val="20"/>
          <w:szCs w:val="20"/>
          <w:lang w:val="en-US" w:eastAsia="zh-CN"/>
        </w:rPr>
        <w:t>Adapted from United States Environmental Protection Agency (EPA) - Coal Plant Decommissioning: Plant Decommissioning, Remediation and Redevelopment</w:t>
      </w:r>
    </w:p>
  </w:footnote>
  <w:footnote w:id="11">
    <w:p w14:paraId="1310117C" w14:textId="77777777" w:rsidR="00A3194C" w:rsidRPr="00A75EE8" w:rsidRDefault="00A3194C" w:rsidP="00A3194C">
      <w:pPr>
        <w:pStyle w:val="NoSpacing"/>
        <w:jc w:val="both"/>
        <w:rPr>
          <w:i/>
          <w:iCs/>
          <w:sz w:val="20"/>
          <w:szCs w:val="20"/>
        </w:rPr>
      </w:pPr>
      <w:r w:rsidRPr="00A75EE8">
        <w:rPr>
          <w:rStyle w:val="FootnoteReference"/>
          <w:rFonts w:ascii="Times" w:eastAsiaTheme="minorEastAsia" w:hAnsi="Times"/>
          <w:sz w:val="20"/>
          <w:szCs w:val="20"/>
        </w:rPr>
        <w:footnoteRef/>
      </w:r>
      <w:r w:rsidRPr="00A75EE8">
        <w:rPr>
          <w:rStyle w:val="FootnoteReference"/>
          <w:rFonts w:ascii="Times" w:eastAsiaTheme="minorEastAsia" w:hAnsi="Times"/>
          <w:sz w:val="20"/>
          <w:szCs w:val="20"/>
        </w:rPr>
        <w:t xml:space="preserve"> </w:t>
      </w:r>
      <w:r w:rsidRPr="00A75EE8">
        <w:rPr>
          <w:sz w:val="20"/>
          <w:szCs w:val="20"/>
        </w:rPr>
        <w:t>Philippine Grid Code (PGC)</w:t>
      </w:r>
    </w:p>
  </w:footnote>
  <w:footnote w:id="12">
    <w:p w14:paraId="6A7B7931" w14:textId="77777777" w:rsidR="00A3194C" w:rsidRPr="00A75EE8" w:rsidRDefault="00A3194C" w:rsidP="00A3194C">
      <w:pPr>
        <w:pStyle w:val="NoSpacing"/>
        <w:jc w:val="both"/>
        <w:rPr>
          <w:i/>
          <w:iCs/>
          <w:sz w:val="20"/>
          <w:szCs w:val="20"/>
        </w:rPr>
      </w:pPr>
      <w:r w:rsidRPr="00A75EE8">
        <w:rPr>
          <w:i/>
          <w:iCs/>
          <w:sz w:val="20"/>
          <w:szCs w:val="20"/>
          <w:vertAlign w:val="superscript"/>
        </w:rPr>
        <w:footnoteRef/>
      </w:r>
      <w:r w:rsidRPr="00A75EE8">
        <w:rPr>
          <w:i/>
          <w:iCs/>
          <w:sz w:val="20"/>
          <w:szCs w:val="20"/>
          <w:vertAlign w:val="superscript"/>
        </w:rPr>
        <w:t xml:space="preserve"> </w:t>
      </w:r>
      <w:r w:rsidRPr="00A75EE8">
        <w:rPr>
          <w:sz w:val="20"/>
          <w:szCs w:val="20"/>
        </w:rPr>
        <w:t>Ibid</w:t>
      </w:r>
    </w:p>
  </w:footnote>
  <w:footnote w:id="13">
    <w:p w14:paraId="1DE54104" w14:textId="77777777" w:rsidR="00A3194C" w:rsidRPr="00A75EE8" w:rsidRDefault="00A3194C" w:rsidP="00A3194C">
      <w:pPr>
        <w:pStyle w:val="NoSpacing"/>
        <w:jc w:val="both"/>
        <w:rPr>
          <w:rFonts w:ascii="Times New Roman" w:eastAsia="Times New Roman" w:hAnsi="Times New Roman"/>
          <w:sz w:val="20"/>
          <w:szCs w:val="20"/>
          <w:lang w:eastAsia="en-PH"/>
        </w:rPr>
      </w:pPr>
      <w:r w:rsidRPr="00A75EE8">
        <w:rPr>
          <w:rStyle w:val="FootnoteReference"/>
          <w:sz w:val="20"/>
          <w:szCs w:val="20"/>
        </w:rPr>
        <w:footnoteRef/>
      </w:r>
      <w:r w:rsidRPr="00A75EE8">
        <w:rPr>
          <w:sz w:val="20"/>
          <w:szCs w:val="20"/>
        </w:rPr>
        <w:t xml:space="preserve"> Adapted from Pacific Northwest National Laboratory: Business Models for Coal Plant Decommissioning</w:t>
      </w:r>
    </w:p>
  </w:footnote>
  <w:footnote w:id="14">
    <w:p w14:paraId="7EFC05B9" w14:textId="77777777" w:rsidR="00A3194C" w:rsidRDefault="00A3194C" w:rsidP="00A3194C">
      <w:pPr>
        <w:pStyle w:val="FootnoteText"/>
      </w:pPr>
      <w:r>
        <w:rPr>
          <w:rStyle w:val="FootnoteReference"/>
        </w:rPr>
        <w:footnoteRef/>
      </w:r>
      <w:r>
        <w:t xml:space="preserve"> DOE DC2021-11-0039 entitled, “Mandating the National Transmission Corporation as Small Grid System Operator in Specific Off-Grid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77777777" w:rsidR="004D6EC1" w:rsidRDefault="001C4065">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0" distR="0" simplePos="0" relativeHeight="251662336" behindDoc="1" locked="0" layoutInCell="1" hidden="0" allowOverlap="1" wp14:anchorId="65BC2EA8" wp14:editId="7F56C017">
              <wp:simplePos x="0" y="0"/>
              <wp:positionH relativeFrom="margin">
                <wp:align>center</wp:align>
              </wp:positionH>
              <wp:positionV relativeFrom="margin">
                <wp:align>center</wp:align>
              </wp:positionV>
              <wp:extent cx="17290817" cy="17290817"/>
              <wp:effectExtent l="0" t="0" r="0" b="0"/>
              <wp:wrapNone/>
              <wp:docPr id="39" name="Rectangle 39"/>
              <wp:cNvGraphicFramePr/>
              <a:graphic xmlns:a="http://schemas.openxmlformats.org/drawingml/2006/main">
                <a:graphicData uri="http://schemas.microsoft.com/office/word/2010/wordprocessingShape">
                  <wps:wsp>
                    <wps:cNvSpPr/>
                    <wps:spPr>
                      <a:xfrm rot="-2700000">
                        <a:off x="2275775" y="2551910"/>
                        <a:ext cx="6140450" cy="2456180"/>
                      </a:xfrm>
                      <a:prstGeom prst="rect">
                        <a:avLst/>
                      </a:prstGeom>
                      <a:noFill/>
                      <a:ln>
                        <a:noFill/>
                      </a:ln>
                    </wps:spPr>
                    <wps:txbx>
                      <w:txbxContent>
                        <w:p w14:paraId="0B7E8443" w14:textId="77777777" w:rsidR="004D6EC1" w:rsidRDefault="001C4065">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5BC2EA8" id="Rectangle 39" o:spid="_x0000_s1026" style="position:absolute;left:0;text-align:left;margin-left:0;margin-top:0;width:1361.5pt;height:1361.5pt;rotation:-45;z-index:-25165414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" filled="f" stroked="f">
              <v:textbox inset="2.53958mm,2.53958mm,2.53958mm,2.53958mm">
                <w:txbxContent>
                  <w:p w14:paraId="0B7E8443" w14:textId="77777777" w:rsidR="004D6EC1" w:rsidRDefault="001C4065">
                    <w:pPr>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77777777" w:rsidR="004D6EC1" w:rsidRDefault="001C4065">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0" distR="0" simplePos="0" relativeHeight="251658240" behindDoc="1" locked="0" layoutInCell="1" hidden="0" allowOverlap="1" wp14:anchorId="3E14231F" wp14:editId="25944457">
              <wp:simplePos x="0" y="0"/>
              <wp:positionH relativeFrom="margin">
                <wp:align>center</wp:align>
              </wp:positionH>
              <wp:positionV relativeFrom="margin">
                <wp:align>center</wp:align>
              </wp:positionV>
              <wp:extent cx="17290817" cy="17290817"/>
              <wp:effectExtent l="0" t="0" r="0" b="0"/>
              <wp:wrapNone/>
              <wp:docPr id="41" name="Rectangle 41"/>
              <wp:cNvGraphicFramePr/>
              <a:graphic xmlns:a="http://schemas.openxmlformats.org/drawingml/2006/main">
                <a:graphicData uri="http://schemas.microsoft.com/office/word/2010/wordprocessingShape">
                  <wps:wsp>
                    <wps:cNvSpPr/>
                    <wps:spPr>
                      <a:xfrm rot="-2700000">
                        <a:off x="2275775" y="2551910"/>
                        <a:ext cx="6140450" cy="2456180"/>
                      </a:xfrm>
                      <a:prstGeom prst="rect">
                        <a:avLst/>
                      </a:prstGeom>
                      <a:noFill/>
                      <a:ln>
                        <a:noFill/>
                      </a:ln>
                    </wps:spPr>
                    <wps:txbx>
                      <w:txbxContent>
                        <w:p w14:paraId="42C5059D" w14:textId="0C3CDFD0" w:rsidR="004D6EC1" w:rsidRDefault="004D6EC1">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3E14231F" id="Rectangle 41" o:spid="_x0000_s1027" style="position:absolute;left:0;text-align:left;margin-left:0;margin-top:0;width:1361.5pt;height:1361.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" filled="f" stroked="f">
              <v:textbox inset="2.53958mm,2.53958mm,2.53958mm,2.53958mm">
                <w:txbxContent>
                  <w:p w14:paraId="42C5059D" w14:textId="0C3CDFD0" w:rsidR="004D6EC1" w:rsidRDefault="004D6EC1">
                    <w:pPr>
                      <w:jc w:val="cente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053B" w14:textId="08D9D56F" w:rsidR="00350EBF" w:rsidRDefault="00350EBF" w:rsidP="00350EBF">
    <w:pPr>
      <w:pStyle w:val="Header"/>
    </w:pPr>
    <w:bookmarkStart w:id="1" w:name="_Hlk119311829"/>
    <w:bookmarkStart w:id="2" w:name="_Hlk119311830"/>
    <w:bookmarkStart w:id="3" w:name="_Hlk119311834"/>
    <w:bookmarkStart w:id="4" w:name="_Hlk119311835"/>
    <w:r>
      <w:rPr>
        <w:noProof/>
      </w:rPr>
      <w:drawing>
        <wp:anchor distT="0" distB="0" distL="114300" distR="114300" simplePos="0" relativeHeight="251664384" behindDoc="1" locked="0" layoutInCell="1" allowOverlap="1" wp14:anchorId="3A427269" wp14:editId="450C6DB7">
          <wp:simplePos x="0" y="0"/>
          <wp:positionH relativeFrom="column">
            <wp:posOffset>27940</wp:posOffset>
          </wp:positionH>
          <wp:positionV relativeFrom="paragraph">
            <wp:posOffset>34290</wp:posOffset>
          </wp:positionV>
          <wp:extent cx="789940" cy="800100"/>
          <wp:effectExtent l="0" t="0" r="0" b="0"/>
          <wp:wrapTight wrapText="bothSides">
            <wp:wrapPolygon edited="0">
              <wp:start x="0" y="0"/>
              <wp:lineTo x="0" y="21086"/>
              <wp:lineTo x="20836" y="21086"/>
              <wp:lineTo x="20836" y="0"/>
              <wp:lineTo x="0" y="0"/>
            </wp:wrapPolygon>
          </wp:wrapTight>
          <wp:docPr id="3" name="Picture 3" descr="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DD16F2B" w14:textId="46C6CAB4" w:rsidR="00350EBF" w:rsidRPr="000A3481" w:rsidRDefault="00350EBF" w:rsidP="00350EBF">
    <w:pPr>
      <w:pStyle w:val="Header"/>
      <w:rPr>
        <w:b/>
      </w:rPr>
    </w:pPr>
    <w:r>
      <w:t xml:space="preserve">  </w:t>
    </w:r>
    <w:r w:rsidRPr="000A3481">
      <w:rPr>
        <w:b/>
      </w:rPr>
      <w:t>Republic of the Philippines</w:t>
    </w:r>
  </w:p>
  <w:p w14:paraId="36A28A15" w14:textId="09E427E8" w:rsidR="00350EBF" w:rsidRPr="000A3481" w:rsidRDefault="00350EBF" w:rsidP="00350EBF">
    <w:pPr>
      <w:pStyle w:val="Header"/>
      <w:rPr>
        <w:b/>
        <w:sz w:val="28"/>
        <w:szCs w:val="28"/>
      </w:rPr>
    </w:pPr>
    <w:r>
      <w:t xml:space="preserve">  </w:t>
    </w:r>
    <w:r w:rsidRPr="000A3481">
      <w:rPr>
        <w:b/>
        <w:sz w:val="28"/>
        <w:szCs w:val="28"/>
      </w:rPr>
      <w:t>DEPARTMENT OF ENERGY</w:t>
    </w:r>
    <w:bookmarkEnd w:id="1"/>
    <w:bookmarkEnd w:id="2"/>
    <w:bookmarkEnd w:id="3"/>
    <w:bookmarkEnd w:id="4"/>
  </w:p>
  <w:p w14:paraId="0000016A" w14:textId="77777777" w:rsidR="004D6EC1" w:rsidRDefault="001C4065">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0" distR="0" simplePos="0" relativeHeight="251661312" behindDoc="1" locked="0" layoutInCell="1" hidden="0" allowOverlap="1" wp14:anchorId="1AE48B0B" wp14:editId="4CB6E1EA">
              <wp:simplePos x="0" y="0"/>
              <wp:positionH relativeFrom="margin">
                <wp:align>center</wp:align>
              </wp:positionH>
              <wp:positionV relativeFrom="margin">
                <wp:align>center</wp:align>
              </wp:positionV>
              <wp:extent cx="17290817" cy="17290817"/>
              <wp:effectExtent l="0" t="0" r="0" b="0"/>
              <wp:wrapNone/>
              <wp:docPr id="40" name="Rectangle 40"/>
              <wp:cNvGraphicFramePr/>
              <a:graphic xmlns:a="http://schemas.openxmlformats.org/drawingml/2006/main">
                <a:graphicData uri="http://schemas.microsoft.com/office/word/2010/wordprocessingShape">
                  <wps:wsp>
                    <wps:cNvSpPr/>
                    <wps:spPr>
                      <a:xfrm rot="-2700000">
                        <a:off x="2275775" y="2551910"/>
                        <a:ext cx="6140450" cy="2456180"/>
                      </a:xfrm>
                      <a:prstGeom prst="rect">
                        <a:avLst/>
                      </a:prstGeom>
                      <a:noFill/>
                      <a:ln>
                        <a:noFill/>
                      </a:ln>
                    </wps:spPr>
                    <wps:txbx>
                      <w:txbxContent>
                        <w:p w14:paraId="6EE042C7" w14:textId="551ACE6B" w:rsidR="004D6EC1" w:rsidRDefault="004D6EC1">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1AE48B0B" id="Rectangle 40" o:spid="_x0000_s1028" style="position:absolute;left:0;text-align:left;margin-left:0;margin-top:0;width:1361.5pt;height:1361.5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" filled="f" stroked="f">
              <v:textbox inset="2.53958mm,2.53958mm,2.53958mm,2.53958mm">
                <w:txbxContent>
                  <w:p w14:paraId="6EE042C7" w14:textId="551ACE6B" w:rsidR="004D6EC1" w:rsidRDefault="004D6EC1">
                    <w:pPr>
                      <w:jc w:val="center"/>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1E"/>
    <w:multiLevelType w:val="hybridMultilevel"/>
    <w:tmpl w:val="1AB6016C"/>
    <w:lvl w:ilvl="0" w:tplc="E44270D0">
      <w:start w:val="1"/>
      <w:numFmt w:val="decimal"/>
      <w:lvlText w:val="6.%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73452D"/>
    <w:multiLevelType w:val="multilevel"/>
    <w:tmpl w:val="EF263604"/>
    <w:lvl w:ilvl="0">
      <w:start w:val="4"/>
      <w:numFmt w:val="decimal"/>
      <w:lvlText w:val="%1"/>
      <w:lvlJc w:val="left"/>
      <w:pPr>
        <w:ind w:left="730" w:hanging="730"/>
      </w:pPr>
      <w:rPr>
        <w:rFonts w:hint="default"/>
      </w:rPr>
    </w:lvl>
    <w:lvl w:ilvl="1">
      <w:start w:val="2"/>
      <w:numFmt w:val="decimal"/>
      <w:lvlText w:val="%1.%2"/>
      <w:lvlJc w:val="left"/>
      <w:pPr>
        <w:ind w:left="1030" w:hanging="730"/>
      </w:pPr>
      <w:rPr>
        <w:rFonts w:hint="default"/>
      </w:rPr>
    </w:lvl>
    <w:lvl w:ilvl="2">
      <w:start w:val="1"/>
      <w:numFmt w:val="decimal"/>
      <w:lvlText w:val="%1.%2.%3"/>
      <w:lvlJc w:val="left"/>
      <w:pPr>
        <w:ind w:left="1330" w:hanging="73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B8E024E"/>
    <w:multiLevelType w:val="hybridMultilevel"/>
    <w:tmpl w:val="C2328F58"/>
    <w:lvl w:ilvl="0" w:tplc="30523DA2">
      <w:start w:val="1"/>
      <w:numFmt w:val="decimal"/>
      <w:lvlText w:val="5.%1"/>
      <w:lvlJc w:val="left"/>
      <w:pPr>
        <w:ind w:left="3240" w:hanging="360"/>
      </w:pPr>
      <w:rPr>
        <w:rFonts w:hint="default"/>
        <w:b w:val="0"/>
        <w:bCs/>
        <w:strike w:val="0"/>
      </w:rPr>
    </w:lvl>
    <w:lvl w:ilvl="1" w:tplc="4AAC39F0">
      <w:start w:val="1"/>
      <w:numFmt w:val="decimal"/>
      <w:lvlText w:val="5.2.%2."/>
      <w:lvlJc w:val="left"/>
      <w:pPr>
        <w:ind w:left="2291" w:hanging="360"/>
      </w:pPr>
      <w:rPr>
        <w:rFonts w:hint="default"/>
        <w:b w:val="0"/>
        <w:bCs/>
      </w:r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3" w15:restartNumberingAfterBreak="0">
    <w:nsid w:val="13543946"/>
    <w:multiLevelType w:val="hybridMultilevel"/>
    <w:tmpl w:val="F9A6FC8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41A5262"/>
    <w:multiLevelType w:val="hybridMultilevel"/>
    <w:tmpl w:val="DBCA759C"/>
    <w:lvl w:ilvl="0" w:tplc="6C1CDD42">
      <w:start w:val="1"/>
      <w:numFmt w:val="decimal"/>
      <w:lvlText w:val="7.%1"/>
      <w:lvlJc w:val="left"/>
      <w:pPr>
        <w:ind w:left="783" w:hanging="360"/>
      </w:pPr>
      <w:rPr>
        <w:rFonts w:hint="default"/>
        <w:strike w:val="0"/>
      </w:rPr>
    </w:lvl>
    <w:lvl w:ilvl="1" w:tplc="34090019" w:tentative="1">
      <w:start w:val="1"/>
      <w:numFmt w:val="lowerLetter"/>
      <w:lvlText w:val="%2."/>
      <w:lvlJc w:val="left"/>
      <w:pPr>
        <w:ind w:left="1503" w:hanging="360"/>
      </w:pPr>
    </w:lvl>
    <w:lvl w:ilvl="2" w:tplc="3409001B" w:tentative="1">
      <w:start w:val="1"/>
      <w:numFmt w:val="lowerRoman"/>
      <w:lvlText w:val="%3."/>
      <w:lvlJc w:val="right"/>
      <w:pPr>
        <w:ind w:left="2223" w:hanging="180"/>
      </w:pPr>
    </w:lvl>
    <w:lvl w:ilvl="3" w:tplc="3409000F" w:tentative="1">
      <w:start w:val="1"/>
      <w:numFmt w:val="decimal"/>
      <w:lvlText w:val="%4."/>
      <w:lvlJc w:val="left"/>
      <w:pPr>
        <w:ind w:left="2943" w:hanging="360"/>
      </w:pPr>
    </w:lvl>
    <w:lvl w:ilvl="4" w:tplc="34090019" w:tentative="1">
      <w:start w:val="1"/>
      <w:numFmt w:val="lowerLetter"/>
      <w:lvlText w:val="%5."/>
      <w:lvlJc w:val="left"/>
      <w:pPr>
        <w:ind w:left="3663" w:hanging="360"/>
      </w:pPr>
    </w:lvl>
    <w:lvl w:ilvl="5" w:tplc="3409001B" w:tentative="1">
      <w:start w:val="1"/>
      <w:numFmt w:val="lowerRoman"/>
      <w:lvlText w:val="%6."/>
      <w:lvlJc w:val="right"/>
      <w:pPr>
        <w:ind w:left="4383" w:hanging="180"/>
      </w:pPr>
    </w:lvl>
    <w:lvl w:ilvl="6" w:tplc="3409000F" w:tentative="1">
      <w:start w:val="1"/>
      <w:numFmt w:val="decimal"/>
      <w:lvlText w:val="%7."/>
      <w:lvlJc w:val="left"/>
      <w:pPr>
        <w:ind w:left="5103" w:hanging="360"/>
      </w:pPr>
    </w:lvl>
    <w:lvl w:ilvl="7" w:tplc="34090019" w:tentative="1">
      <w:start w:val="1"/>
      <w:numFmt w:val="lowerLetter"/>
      <w:lvlText w:val="%8."/>
      <w:lvlJc w:val="left"/>
      <w:pPr>
        <w:ind w:left="5823" w:hanging="360"/>
      </w:pPr>
    </w:lvl>
    <w:lvl w:ilvl="8" w:tplc="3409001B" w:tentative="1">
      <w:start w:val="1"/>
      <w:numFmt w:val="lowerRoman"/>
      <w:lvlText w:val="%9."/>
      <w:lvlJc w:val="right"/>
      <w:pPr>
        <w:ind w:left="6543" w:hanging="180"/>
      </w:pPr>
    </w:lvl>
  </w:abstractNum>
  <w:abstractNum w:abstractNumId="5" w15:restartNumberingAfterBreak="0">
    <w:nsid w:val="22B40064"/>
    <w:multiLevelType w:val="hybridMultilevel"/>
    <w:tmpl w:val="9850A0C4"/>
    <w:lvl w:ilvl="0" w:tplc="00A61BAE">
      <w:start w:val="1"/>
      <w:numFmt w:val="decimal"/>
      <w:lvlText w:val="9.%1"/>
      <w:lvlJc w:val="left"/>
      <w:pPr>
        <w:ind w:left="783" w:hanging="360"/>
      </w:pPr>
      <w:rPr>
        <w:rFonts w:hint="default"/>
        <w:b w:val="0"/>
        <w:bCs/>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65B3066"/>
    <w:multiLevelType w:val="multilevel"/>
    <w:tmpl w:val="10EEE834"/>
    <w:lvl w:ilvl="0">
      <w:start w:val="1"/>
      <w:numFmt w:val="decimal"/>
      <w:pStyle w:val="Heading7"/>
      <w:lvlText w:val="RULE %1."/>
      <w:lvlJc w:val="center"/>
      <w:pPr>
        <w:ind w:left="720" w:hanging="360"/>
      </w:pPr>
      <w:rPr>
        <w:rFonts w:hint="default"/>
        <w:b/>
        <w:u w:val="none"/>
      </w:rPr>
    </w:lvl>
    <w:lvl w:ilvl="1">
      <w:start w:val="1"/>
      <w:numFmt w:val="decimal"/>
      <w:lvlText w:val="2.%2."/>
      <w:lvlJc w:val="right"/>
      <w:pPr>
        <w:ind w:left="1440" w:hanging="360"/>
      </w:pPr>
      <w:rPr>
        <w:rFonts w:hint="default"/>
        <w:b w:val="0"/>
        <w:u w:val="none"/>
      </w:rPr>
    </w:lvl>
    <w:lvl w:ilvl="2">
      <w:start w:val="1"/>
      <w:numFmt w:val="decimal"/>
      <w:lvlText w:val="%1.%2.%3."/>
      <w:lvlJc w:val="right"/>
      <w:pPr>
        <w:ind w:left="2160" w:hanging="360"/>
      </w:pPr>
      <w:rPr>
        <w:rFonts w:hint="default"/>
        <w:b w:val="0"/>
        <w:u w:val="none"/>
      </w:rPr>
    </w:lvl>
    <w:lvl w:ilvl="3">
      <w:start w:val="1"/>
      <w:numFmt w:val="decimal"/>
      <w:pStyle w:val="Level4"/>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7" w15:restartNumberingAfterBreak="0">
    <w:nsid w:val="36DF3598"/>
    <w:multiLevelType w:val="multilevel"/>
    <w:tmpl w:val="8068B8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8E7C16"/>
    <w:multiLevelType w:val="multilevel"/>
    <w:tmpl w:val="40C8CA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EFC6F44"/>
    <w:multiLevelType w:val="hybridMultilevel"/>
    <w:tmpl w:val="6E3A371A"/>
    <w:lvl w:ilvl="0" w:tplc="E03CD9D6">
      <w:start w:val="1"/>
      <w:numFmt w:val="decimal"/>
      <w:pStyle w:val="Heading1"/>
      <w:lvlText w:val="RULE %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54812D7B"/>
    <w:multiLevelType w:val="multilevel"/>
    <w:tmpl w:val="2FCAD118"/>
    <w:lvl w:ilvl="0">
      <w:start w:val="4"/>
      <w:numFmt w:val="decimal"/>
      <w:lvlText w:val="%1"/>
      <w:lvlJc w:val="left"/>
      <w:pPr>
        <w:ind w:left="730" w:hanging="730"/>
      </w:pPr>
      <w:rPr>
        <w:rFonts w:hint="default"/>
        <w:b w:val="0"/>
        <w:i w:val="0"/>
      </w:rPr>
    </w:lvl>
    <w:lvl w:ilvl="1">
      <w:start w:val="9"/>
      <w:numFmt w:val="decimal"/>
      <w:lvlText w:val="%1.%2"/>
      <w:lvlJc w:val="left"/>
      <w:pPr>
        <w:ind w:left="1270" w:hanging="730"/>
      </w:pPr>
      <w:rPr>
        <w:rFonts w:hint="default"/>
        <w:b w:val="0"/>
        <w:i w:val="0"/>
      </w:rPr>
    </w:lvl>
    <w:lvl w:ilvl="2">
      <w:start w:val="1"/>
      <w:numFmt w:val="decimal"/>
      <w:lvlText w:val="%1.%2.%3"/>
      <w:lvlJc w:val="left"/>
      <w:pPr>
        <w:ind w:left="1810" w:hanging="730"/>
      </w:pPr>
      <w:rPr>
        <w:rFonts w:hint="default"/>
        <w:b w:val="0"/>
        <w:i w:val="0"/>
      </w:rPr>
    </w:lvl>
    <w:lvl w:ilvl="3">
      <w:start w:val="1"/>
      <w:numFmt w:val="decimal"/>
      <w:lvlText w:val="4.8.1.%4."/>
      <w:lvlJc w:val="left"/>
      <w:pPr>
        <w:ind w:left="1980" w:hanging="360"/>
      </w:pPr>
      <w:rPr>
        <w:rFonts w:hint="default"/>
        <w:b w:val="0"/>
        <w:bCs/>
        <w:i w:val="0"/>
        <w:iCs w:val="0"/>
      </w:rPr>
    </w:lvl>
    <w:lvl w:ilvl="4">
      <w:start w:val="1"/>
      <w:numFmt w:val="decimal"/>
      <w:lvlText w:val="%1.%2.%3.%4.%5"/>
      <w:lvlJc w:val="left"/>
      <w:pPr>
        <w:ind w:left="3240" w:hanging="1080"/>
      </w:pPr>
      <w:rPr>
        <w:rFonts w:hint="default"/>
        <w:b w:val="0"/>
        <w:i w:val="0"/>
      </w:rPr>
    </w:lvl>
    <w:lvl w:ilvl="5">
      <w:start w:val="1"/>
      <w:numFmt w:val="decimal"/>
      <w:lvlText w:val="%1.%2.%3.%4.%5.%6"/>
      <w:lvlJc w:val="left"/>
      <w:pPr>
        <w:ind w:left="4140" w:hanging="1440"/>
      </w:pPr>
      <w:rPr>
        <w:rFonts w:hint="default"/>
        <w:b w:val="0"/>
        <w:i w:val="0"/>
      </w:rPr>
    </w:lvl>
    <w:lvl w:ilvl="6">
      <w:start w:val="1"/>
      <w:numFmt w:val="decimal"/>
      <w:lvlText w:val="%1.%2.%3.%4.%5.%6.%7"/>
      <w:lvlJc w:val="left"/>
      <w:pPr>
        <w:ind w:left="4680" w:hanging="1440"/>
      </w:pPr>
      <w:rPr>
        <w:rFonts w:hint="default"/>
        <w:b w:val="0"/>
        <w:i w:val="0"/>
      </w:rPr>
    </w:lvl>
    <w:lvl w:ilvl="7">
      <w:start w:val="1"/>
      <w:numFmt w:val="decimal"/>
      <w:lvlText w:val="%1.%2.%3.%4.%5.%6.%7.%8"/>
      <w:lvlJc w:val="left"/>
      <w:pPr>
        <w:ind w:left="5580" w:hanging="1800"/>
      </w:pPr>
      <w:rPr>
        <w:rFonts w:hint="default"/>
        <w:b w:val="0"/>
        <w:i w:val="0"/>
      </w:rPr>
    </w:lvl>
    <w:lvl w:ilvl="8">
      <w:start w:val="1"/>
      <w:numFmt w:val="decimal"/>
      <w:lvlText w:val="%1.%2.%3.%4.%5.%6.%7.%8.%9"/>
      <w:lvlJc w:val="left"/>
      <w:pPr>
        <w:ind w:left="6120" w:hanging="1800"/>
      </w:pPr>
      <w:rPr>
        <w:rFonts w:hint="default"/>
        <w:b w:val="0"/>
        <w:i w:val="0"/>
      </w:rPr>
    </w:lvl>
  </w:abstractNum>
  <w:abstractNum w:abstractNumId="11" w15:restartNumberingAfterBreak="0">
    <w:nsid w:val="5C625860"/>
    <w:multiLevelType w:val="multilevel"/>
    <w:tmpl w:val="4356A076"/>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5D747DA"/>
    <w:multiLevelType w:val="multilevel"/>
    <w:tmpl w:val="27D6B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5E2B68"/>
    <w:multiLevelType w:val="multilevel"/>
    <w:tmpl w:val="678AA58E"/>
    <w:lvl w:ilvl="0">
      <w:start w:val="4"/>
      <w:numFmt w:val="decimal"/>
      <w:lvlText w:val="%1"/>
      <w:lvlJc w:val="left"/>
      <w:pPr>
        <w:ind w:left="360" w:hanging="360"/>
      </w:pPr>
      <w:rPr>
        <w:rFonts w:hint="default"/>
        <w:b w:val="0"/>
        <w:i w:val="0"/>
        <w:color w:val="auto"/>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720" w:hanging="720"/>
      </w:pPr>
      <w:rPr>
        <w:rFonts w:hint="default"/>
        <w:b w:val="0"/>
        <w:i w:val="0"/>
        <w:color w:val="auto"/>
      </w:rPr>
    </w:lvl>
    <w:lvl w:ilvl="3">
      <w:start w:val="4"/>
      <w:numFmt w:val="decimal"/>
      <w:lvlText w:val="4.1.3.%4"/>
      <w:lvlJc w:val="left"/>
      <w:pPr>
        <w:ind w:left="360" w:hanging="360"/>
      </w:pPr>
      <w:rPr>
        <w:rFonts w:hint="default"/>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440" w:hanging="1440"/>
      </w:pPr>
      <w:rPr>
        <w:rFonts w:hint="default"/>
        <w:b w:val="0"/>
        <w:i w:val="0"/>
        <w:color w:val="auto"/>
      </w:rPr>
    </w:lvl>
    <w:lvl w:ilvl="6">
      <w:start w:val="1"/>
      <w:numFmt w:val="decimal"/>
      <w:lvlText w:val="%1.%2.%3.%4.%5.%6.%7"/>
      <w:lvlJc w:val="left"/>
      <w:pPr>
        <w:ind w:left="1440" w:hanging="1440"/>
      </w:pPr>
      <w:rPr>
        <w:rFonts w:hint="default"/>
        <w:b w:val="0"/>
        <w:i w:val="0"/>
        <w:color w:val="auto"/>
      </w:rPr>
    </w:lvl>
    <w:lvl w:ilvl="7">
      <w:start w:val="1"/>
      <w:numFmt w:val="decimal"/>
      <w:lvlText w:val="%1.%2.%3.%4.%5.%6.%7.%8"/>
      <w:lvlJc w:val="left"/>
      <w:pPr>
        <w:ind w:left="1800" w:hanging="1800"/>
      </w:pPr>
      <w:rPr>
        <w:rFonts w:hint="default"/>
        <w:b w:val="0"/>
        <w:i w:val="0"/>
        <w:color w:val="auto"/>
      </w:rPr>
    </w:lvl>
    <w:lvl w:ilvl="8">
      <w:start w:val="1"/>
      <w:numFmt w:val="decimal"/>
      <w:lvlText w:val="%1.%2.%3.%4.%5.%6.%7.%8.%9"/>
      <w:lvlJc w:val="left"/>
      <w:pPr>
        <w:ind w:left="1800" w:hanging="1800"/>
      </w:pPr>
      <w:rPr>
        <w:rFonts w:hint="default"/>
        <w:b w:val="0"/>
        <w:i w:val="0"/>
        <w:color w:val="auto"/>
      </w:rPr>
    </w:lvl>
  </w:abstractNum>
  <w:num w:numId="1" w16cid:durableId="152724790">
    <w:abstractNumId w:val="11"/>
  </w:num>
  <w:num w:numId="2" w16cid:durableId="446435567">
    <w:abstractNumId w:val="9"/>
  </w:num>
  <w:num w:numId="3" w16cid:durableId="602883974">
    <w:abstractNumId w:val="6"/>
  </w:num>
  <w:num w:numId="4" w16cid:durableId="1155413722">
    <w:abstractNumId w:val="12"/>
  </w:num>
  <w:num w:numId="5" w16cid:durableId="1469008664">
    <w:abstractNumId w:val="8"/>
  </w:num>
  <w:num w:numId="6" w16cid:durableId="2102488860">
    <w:abstractNumId w:val="3"/>
  </w:num>
  <w:num w:numId="7" w16cid:durableId="1341850788">
    <w:abstractNumId w:val="13"/>
  </w:num>
  <w:num w:numId="8" w16cid:durableId="308825946">
    <w:abstractNumId w:val="1"/>
  </w:num>
  <w:num w:numId="9" w16cid:durableId="1585139094">
    <w:abstractNumId w:val="10"/>
  </w:num>
  <w:num w:numId="10" w16cid:durableId="1358653388">
    <w:abstractNumId w:val="2"/>
  </w:num>
  <w:num w:numId="11" w16cid:durableId="708921190">
    <w:abstractNumId w:val="0"/>
  </w:num>
  <w:num w:numId="12" w16cid:durableId="1569195201">
    <w:abstractNumId w:val="4"/>
  </w:num>
  <w:num w:numId="13" w16cid:durableId="1916433470">
    <w:abstractNumId w:val="7"/>
  </w:num>
  <w:num w:numId="14" w16cid:durableId="192953572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MDIDMiwtTY0NTJV0lIJTi4sz8/NACgwNagGGS3KILQAAAA=="/>
  </w:docVars>
  <w:rsids>
    <w:rsidRoot w:val="004D6EC1"/>
    <w:rsid w:val="00015F1C"/>
    <w:rsid w:val="00034218"/>
    <w:rsid w:val="00035A22"/>
    <w:rsid w:val="00043478"/>
    <w:rsid w:val="00080859"/>
    <w:rsid w:val="00080960"/>
    <w:rsid w:val="00093778"/>
    <w:rsid w:val="000C382B"/>
    <w:rsid w:val="000C427E"/>
    <w:rsid w:val="000E3805"/>
    <w:rsid w:val="000F0D86"/>
    <w:rsid w:val="000F3A40"/>
    <w:rsid w:val="001001A0"/>
    <w:rsid w:val="00101A89"/>
    <w:rsid w:val="00102CBF"/>
    <w:rsid w:val="00124707"/>
    <w:rsid w:val="00126D87"/>
    <w:rsid w:val="00127BE2"/>
    <w:rsid w:val="0015152F"/>
    <w:rsid w:val="001530D9"/>
    <w:rsid w:val="00161A82"/>
    <w:rsid w:val="00162F51"/>
    <w:rsid w:val="001660F7"/>
    <w:rsid w:val="001723D9"/>
    <w:rsid w:val="001972DA"/>
    <w:rsid w:val="001A4309"/>
    <w:rsid w:val="001A66E3"/>
    <w:rsid w:val="001C4065"/>
    <w:rsid w:val="001E6435"/>
    <w:rsid w:val="002160B6"/>
    <w:rsid w:val="002259FE"/>
    <w:rsid w:val="002334DF"/>
    <w:rsid w:val="0024157F"/>
    <w:rsid w:val="00242D4E"/>
    <w:rsid w:val="0026110C"/>
    <w:rsid w:val="00286E8F"/>
    <w:rsid w:val="002951A1"/>
    <w:rsid w:val="0029550B"/>
    <w:rsid w:val="002A7D36"/>
    <w:rsid w:val="002C014E"/>
    <w:rsid w:val="002E112D"/>
    <w:rsid w:val="002F207D"/>
    <w:rsid w:val="00304B0A"/>
    <w:rsid w:val="00305B6C"/>
    <w:rsid w:val="0030604F"/>
    <w:rsid w:val="00316402"/>
    <w:rsid w:val="00321A25"/>
    <w:rsid w:val="00345E19"/>
    <w:rsid w:val="00350EBF"/>
    <w:rsid w:val="0035706E"/>
    <w:rsid w:val="00364245"/>
    <w:rsid w:val="0037268C"/>
    <w:rsid w:val="003836F4"/>
    <w:rsid w:val="00387713"/>
    <w:rsid w:val="003921A4"/>
    <w:rsid w:val="003943AD"/>
    <w:rsid w:val="00396AEE"/>
    <w:rsid w:val="003A3131"/>
    <w:rsid w:val="003B7FDB"/>
    <w:rsid w:val="003E061F"/>
    <w:rsid w:val="003F1EBD"/>
    <w:rsid w:val="004325D8"/>
    <w:rsid w:val="00436BDC"/>
    <w:rsid w:val="00457690"/>
    <w:rsid w:val="00477933"/>
    <w:rsid w:val="00493B96"/>
    <w:rsid w:val="00496AAA"/>
    <w:rsid w:val="00497D31"/>
    <w:rsid w:val="004B52D4"/>
    <w:rsid w:val="004B5FAA"/>
    <w:rsid w:val="004D0F59"/>
    <w:rsid w:val="004D3D40"/>
    <w:rsid w:val="004D3F6B"/>
    <w:rsid w:val="004D6EC1"/>
    <w:rsid w:val="004E113D"/>
    <w:rsid w:val="004F40D1"/>
    <w:rsid w:val="005013CF"/>
    <w:rsid w:val="00517759"/>
    <w:rsid w:val="005332B7"/>
    <w:rsid w:val="0053775E"/>
    <w:rsid w:val="00546E1F"/>
    <w:rsid w:val="005600FA"/>
    <w:rsid w:val="00566084"/>
    <w:rsid w:val="005818FA"/>
    <w:rsid w:val="005926FE"/>
    <w:rsid w:val="005B4900"/>
    <w:rsid w:val="005C32D0"/>
    <w:rsid w:val="005C6BEF"/>
    <w:rsid w:val="005E1674"/>
    <w:rsid w:val="005F752F"/>
    <w:rsid w:val="00601064"/>
    <w:rsid w:val="006239AE"/>
    <w:rsid w:val="00632B99"/>
    <w:rsid w:val="00632F61"/>
    <w:rsid w:val="00650656"/>
    <w:rsid w:val="00651E4A"/>
    <w:rsid w:val="00675E6E"/>
    <w:rsid w:val="00677EE4"/>
    <w:rsid w:val="006A2C95"/>
    <w:rsid w:val="006B2573"/>
    <w:rsid w:val="006C0302"/>
    <w:rsid w:val="006C3B0A"/>
    <w:rsid w:val="006E5972"/>
    <w:rsid w:val="0071105C"/>
    <w:rsid w:val="007241BB"/>
    <w:rsid w:val="00725516"/>
    <w:rsid w:val="00735946"/>
    <w:rsid w:val="0075368C"/>
    <w:rsid w:val="0076008A"/>
    <w:rsid w:val="00762952"/>
    <w:rsid w:val="00790760"/>
    <w:rsid w:val="0079359C"/>
    <w:rsid w:val="007974D9"/>
    <w:rsid w:val="007A0B67"/>
    <w:rsid w:val="007A410C"/>
    <w:rsid w:val="007B10B4"/>
    <w:rsid w:val="007B2EB7"/>
    <w:rsid w:val="007B4B3C"/>
    <w:rsid w:val="007B573D"/>
    <w:rsid w:val="007F4E91"/>
    <w:rsid w:val="008168B4"/>
    <w:rsid w:val="00851445"/>
    <w:rsid w:val="00856DE5"/>
    <w:rsid w:val="00857E65"/>
    <w:rsid w:val="00892492"/>
    <w:rsid w:val="008965C4"/>
    <w:rsid w:val="008B2E55"/>
    <w:rsid w:val="008C2758"/>
    <w:rsid w:val="008D0822"/>
    <w:rsid w:val="008D3254"/>
    <w:rsid w:val="008F5A1E"/>
    <w:rsid w:val="00904E0B"/>
    <w:rsid w:val="00906BCE"/>
    <w:rsid w:val="00914EC6"/>
    <w:rsid w:val="00917C51"/>
    <w:rsid w:val="009368C1"/>
    <w:rsid w:val="00951630"/>
    <w:rsid w:val="00965E8E"/>
    <w:rsid w:val="00995E6A"/>
    <w:rsid w:val="009977D5"/>
    <w:rsid w:val="009A359D"/>
    <w:rsid w:val="009A3AD8"/>
    <w:rsid w:val="009B11DC"/>
    <w:rsid w:val="009B2FF6"/>
    <w:rsid w:val="009B5DB1"/>
    <w:rsid w:val="009D5DB0"/>
    <w:rsid w:val="009E243E"/>
    <w:rsid w:val="009F7DE6"/>
    <w:rsid w:val="00A00395"/>
    <w:rsid w:val="00A0549F"/>
    <w:rsid w:val="00A301CD"/>
    <w:rsid w:val="00A3194C"/>
    <w:rsid w:val="00A6579E"/>
    <w:rsid w:val="00A85655"/>
    <w:rsid w:val="00A95F99"/>
    <w:rsid w:val="00AA30D4"/>
    <w:rsid w:val="00AC35B5"/>
    <w:rsid w:val="00AE31E1"/>
    <w:rsid w:val="00B32724"/>
    <w:rsid w:val="00B6634F"/>
    <w:rsid w:val="00B72219"/>
    <w:rsid w:val="00B77D57"/>
    <w:rsid w:val="00BA2DDC"/>
    <w:rsid w:val="00BE58FC"/>
    <w:rsid w:val="00C135CD"/>
    <w:rsid w:val="00C262D1"/>
    <w:rsid w:val="00C30773"/>
    <w:rsid w:val="00C446F3"/>
    <w:rsid w:val="00C5054C"/>
    <w:rsid w:val="00C524B0"/>
    <w:rsid w:val="00C64F38"/>
    <w:rsid w:val="00C67885"/>
    <w:rsid w:val="00CC0702"/>
    <w:rsid w:val="00CD413C"/>
    <w:rsid w:val="00CE0252"/>
    <w:rsid w:val="00D00BAC"/>
    <w:rsid w:val="00D07D65"/>
    <w:rsid w:val="00D3301D"/>
    <w:rsid w:val="00D408F3"/>
    <w:rsid w:val="00D44D51"/>
    <w:rsid w:val="00D44E1F"/>
    <w:rsid w:val="00D50C78"/>
    <w:rsid w:val="00D670C3"/>
    <w:rsid w:val="00D945E7"/>
    <w:rsid w:val="00DB6C60"/>
    <w:rsid w:val="00DB79CE"/>
    <w:rsid w:val="00DC12C1"/>
    <w:rsid w:val="00DD4DAC"/>
    <w:rsid w:val="00DD6008"/>
    <w:rsid w:val="00E1336E"/>
    <w:rsid w:val="00E207E7"/>
    <w:rsid w:val="00E21057"/>
    <w:rsid w:val="00E23259"/>
    <w:rsid w:val="00E246AD"/>
    <w:rsid w:val="00E343C0"/>
    <w:rsid w:val="00E36EAD"/>
    <w:rsid w:val="00E43CBC"/>
    <w:rsid w:val="00E63151"/>
    <w:rsid w:val="00E66B76"/>
    <w:rsid w:val="00E84ABA"/>
    <w:rsid w:val="00E855C3"/>
    <w:rsid w:val="00EB3628"/>
    <w:rsid w:val="00EB64FD"/>
    <w:rsid w:val="00ED07DB"/>
    <w:rsid w:val="00F0038D"/>
    <w:rsid w:val="00F12814"/>
    <w:rsid w:val="00F1581E"/>
    <w:rsid w:val="00F2384E"/>
    <w:rsid w:val="00F32864"/>
    <w:rsid w:val="00F41811"/>
    <w:rsid w:val="00F555F4"/>
    <w:rsid w:val="00F55C2F"/>
    <w:rsid w:val="00F6429D"/>
    <w:rsid w:val="00F67274"/>
    <w:rsid w:val="00F8598F"/>
    <w:rsid w:val="00FA0548"/>
    <w:rsid w:val="00FA460E"/>
    <w:rsid w:val="00FC7677"/>
    <w:rsid w:val="00FE00E5"/>
    <w:rsid w:val="00FE01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FE84"/>
  <w15:docId w15:val="{5AB08DDD-C798-497A-B461-3419B6B1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PH"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B5"/>
    <w:pPr>
      <w:contextualSpacing/>
    </w:pPr>
    <w:rPr>
      <w:szCs w:val="23"/>
    </w:rPr>
  </w:style>
  <w:style w:type="paragraph" w:styleId="Heading1">
    <w:name w:val="heading 1"/>
    <w:basedOn w:val="Normal"/>
    <w:next w:val="Normal"/>
    <w:uiPriority w:val="9"/>
    <w:qFormat/>
    <w:rsid w:val="005B4900"/>
    <w:pPr>
      <w:keepNext/>
      <w:keepLines/>
      <w:numPr>
        <w:numId w:val="2"/>
      </w:numPr>
      <w:spacing w:before="480" w:after="120"/>
      <w:jc w:val="center"/>
      <w:outlineLvl w:val="0"/>
    </w:pPr>
    <w:rPr>
      <w:b/>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Level1"/>
    <w:link w:val="Heading7Char"/>
    <w:uiPriority w:val="9"/>
    <w:unhideWhenUsed/>
    <w:qFormat/>
    <w:rsid w:val="00CB56DA"/>
    <w:pPr>
      <w:keepNext/>
      <w:numPr>
        <w:numId w:val="3"/>
      </w:numPr>
      <w:pBdr>
        <w:top w:val="nil"/>
        <w:left w:val="nil"/>
        <w:bottom w:val="nil"/>
        <w:right w:val="nil"/>
        <w:between w:val="nil"/>
      </w:pBdr>
      <w:jc w:val="center"/>
      <w:outlineLvl w:val="6"/>
    </w:pPr>
    <w:rPr>
      <w:b/>
      <w:color w:val="000000"/>
      <w:szCs w:val="24"/>
    </w:rPr>
  </w:style>
  <w:style w:type="paragraph" w:styleId="Heading8">
    <w:name w:val="heading 8"/>
    <w:basedOn w:val="Normal"/>
    <w:next w:val="Normal"/>
    <w:link w:val="Heading8Char"/>
    <w:uiPriority w:val="9"/>
    <w:unhideWhenUsed/>
    <w:qFormat/>
    <w:rsid w:val="004E4F52"/>
    <w:pPr>
      <w:keepNext/>
      <w:pBdr>
        <w:top w:val="nil"/>
        <w:left w:val="nil"/>
        <w:bottom w:val="nil"/>
        <w:right w:val="nil"/>
        <w:between w:val="nil"/>
      </w:pBdr>
      <w:tabs>
        <w:tab w:val="left" w:pos="851"/>
      </w:tabs>
      <w:ind w:left="360"/>
      <w:outlineLvl w:val="7"/>
    </w:pPr>
  </w:style>
  <w:style w:type="paragraph" w:styleId="Heading9">
    <w:name w:val="heading 9"/>
    <w:basedOn w:val="Normal"/>
    <w:next w:val="Normal"/>
    <w:link w:val="Heading9Char"/>
    <w:uiPriority w:val="9"/>
    <w:unhideWhenUsed/>
    <w:qFormat/>
    <w:rsid w:val="00857E65"/>
    <w:pPr>
      <w:keepNext/>
      <w:widowControl w:val="0"/>
      <w:pBdr>
        <w:top w:val="nil"/>
        <w:left w:val="nil"/>
        <w:bottom w:val="nil"/>
        <w:right w:val="nil"/>
        <w:between w:val="nil"/>
      </w:pBdr>
      <w:spacing w:line="276" w:lineRule="auto"/>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unhideWhenUsed/>
    <w:rsid w:val="001B7A47"/>
    <w:rPr>
      <w:sz w:val="16"/>
      <w:szCs w:val="16"/>
    </w:rPr>
  </w:style>
  <w:style w:type="paragraph" w:styleId="CommentText">
    <w:name w:val="annotation text"/>
    <w:basedOn w:val="Normal"/>
    <w:link w:val="CommentTextChar"/>
    <w:uiPriority w:val="99"/>
    <w:unhideWhenUsed/>
    <w:qFormat/>
    <w:rsid w:val="001B7A47"/>
    <w:rPr>
      <w:sz w:val="20"/>
      <w:szCs w:val="20"/>
    </w:rPr>
  </w:style>
  <w:style w:type="character" w:customStyle="1" w:styleId="CommentTextChar">
    <w:name w:val="Comment Text Char"/>
    <w:basedOn w:val="DefaultParagraphFont"/>
    <w:link w:val="CommentText"/>
    <w:uiPriority w:val="99"/>
    <w:qFormat/>
    <w:rsid w:val="001B7A47"/>
    <w:rPr>
      <w:sz w:val="20"/>
      <w:szCs w:val="20"/>
    </w:rPr>
  </w:style>
  <w:style w:type="paragraph" w:styleId="CommentSubject">
    <w:name w:val="annotation subject"/>
    <w:basedOn w:val="CommentText"/>
    <w:next w:val="CommentText"/>
    <w:link w:val="CommentSubjectChar"/>
    <w:uiPriority w:val="99"/>
    <w:semiHidden/>
    <w:unhideWhenUsed/>
    <w:rsid w:val="001B7A47"/>
    <w:rPr>
      <w:b/>
      <w:bCs/>
    </w:rPr>
  </w:style>
  <w:style w:type="character" w:customStyle="1" w:styleId="CommentSubjectChar">
    <w:name w:val="Comment Subject Char"/>
    <w:basedOn w:val="CommentTextChar"/>
    <w:link w:val="CommentSubject"/>
    <w:uiPriority w:val="99"/>
    <w:semiHidden/>
    <w:rsid w:val="001B7A47"/>
    <w:rPr>
      <w:b/>
      <w:bCs/>
      <w:sz w:val="20"/>
      <w:szCs w:val="20"/>
    </w:rPr>
  </w:style>
  <w:style w:type="paragraph" w:styleId="BalloonText">
    <w:name w:val="Balloon Text"/>
    <w:basedOn w:val="Normal"/>
    <w:link w:val="BalloonTextChar"/>
    <w:uiPriority w:val="99"/>
    <w:semiHidden/>
    <w:unhideWhenUsed/>
    <w:rsid w:val="001B7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A47"/>
    <w:rPr>
      <w:rFonts w:ascii="Segoe UI" w:hAnsi="Segoe UI" w:cs="Segoe UI"/>
      <w:sz w:val="18"/>
      <w:szCs w:val="18"/>
    </w:rPr>
  </w:style>
  <w:style w:type="paragraph" w:styleId="ListParagraph">
    <w:name w:val="List Paragraph"/>
    <w:basedOn w:val="Normal"/>
    <w:link w:val="ListParagraphChar"/>
    <w:uiPriority w:val="34"/>
    <w:qFormat/>
    <w:rsid w:val="00D34A86"/>
    <w:pPr>
      <w:ind w:left="720"/>
    </w:pPr>
  </w:style>
  <w:style w:type="paragraph" w:styleId="Revision">
    <w:name w:val="Revision"/>
    <w:hidden/>
    <w:uiPriority w:val="99"/>
    <w:semiHidden/>
    <w:rsid w:val="007C091C"/>
  </w:style>
  <w:style w:type="character" w:styleId="LineNumber">
    <w:name w:val="line number"/>
    <w:basedOn w:val="DefaultParagraphFont"/>
    <w:uiPriority w:val="99"/>
    <w:semiHidden/>
    <w:unhideWhenUsed/>
    <w:rsid w:val="00B654CF"/>
  </w:style>
  <w:style w:type="paragraph" w:customStyle="1" w:styleId="Level2">
    <w:name w:val="Level 2"/>
    <w:basedOn w:val="Level1"/>
    <w:link w:val="Level2Char"/>
    <w:qFormat/>
    <w:rsid w:val="00357656"/>
    <w:pPr>
      <w:numPr>
        <w:ilvl w:val="1"/>
      </w:numPr>
      <w:tabs>
        <w:tab w:val="left" w:pos="851"/>
      </w:tabs>
      <w:ind w:left="851" w:hanging="425"/>
      <w:jc w:val="both"/>
    </w:pPr>
    <w:rPr>
      <w:b w:val="0"/>
      <w:bCs/>
    </w:rPr>
  </w:style>
  <w:style w:type="paragraph" w:customStyle="1" w:styleId="Level1">
    <w:name w:val="Level 1"/>
    <w:basedOn w:val="ListParagraph"/>
    <w:link w:val="Level1Char"/>
    <w:qFormat/>
    <w:rsid w:val="00357656"/>
    <w:pPr>
      <w:numPr>
        <w:numId w:val="1"/>
      </w:numPr>
      <w:contextualSpacing w:val="0"/>
      <w:jc w:val="center"/>
    </w:pPr>
    <w:rPr>
      <w:b/>
    </w:rPr>
  </w:style>
  <w:style w:type="character" w:customStyle="1" w:styleId="ListParagraphChar">
    <w:name w:val="List Paragraph Char"/>
    <w:basedOn w:val="DefaultParagraphFont"/>
    <w:link w:val="ListParagraph"/>
    <w:uiPriority w:val="34"/>
    <w:rsid w:val="000F2917"/>
  </w:style>
  <w:style w:type="character" w:customStyle="1" w:styleId="Level2Char">
    <w:name w:val="Level 2 Char"/>
    <w:basedOn w:val="ListParagraphChar"/>
    <w:link w:val="Level2"/>
    <w:rsid w:val="00357656"/>
    <w:rPr>
      <w:bCs/>
      <w:szCs w:val="23"/>
    </w:rPr>
  </w:style>
  <w:style w:type="paragraph" w:customStyle="1" w:styleId="Level3">
    <w:name w:val="Level 3"/>
    <w:basedOn w:val="Level2"/>
    <w:link w:val="Level3Char"/>
    <w:qFormat/>
    <w:rsid w:val="00357656"/>
    <w:pPr>
      <w:numPr>
        <w:ilvl w:val="2"/>
      </w:numPr>
      <w:tabs>
        <w:tab w:val="clear" w:pos="851"/>
        <w:tab w:val="left" w:pos="1843"/>
      </w:tabs>
      <w:ind w:left="1843" w:hanging="283"/>
    </w:pPr>
  </w:style>
  <w:style w:type="character" w:customStyle="1" w:styleId="Level1Char">
    <w:name w:val="Level 1 Char"/>
    <w:basedOn w:val="ListParagraphChar"/>
    <w:link w:val="Level1"/>
    <w:rsid w:val="009527B5"/>
    <w:rPr>
      <w:b/>
      <w:szCs w:val="23"/>
    </w:rPr>
  </w:style>
  <w:style w:type="character" w:customStyle="1" w:styleId="Level3Char">
    <w:name w:val="Level 3 Char"/>
    <w:basedOn w:val="Level2Char"/>
    <w:link w:val="Level3"/>
    <w:rsid w:val="00357656"/>
    <w:rPr>
      <w:bCs/>
      <w:szCs w:val="23"/>
    </w:rPr>
  </w:style>
  <w:style w:type="paragraph" w:styleId="Header">
    <w:name w:val="header"/>
    <w:basedOn w:val="Normal"/>
    <w:link w:val="HeaderChar"/>
    <w:unhideWhenUsed/>
    <w:rsid w:val="000F2917"/>
    <w:pPr>
      <w:tabs>
        <w:tab w:val="center" w:pos="4680"/>
        <w:tab w:val="right" w:pos="9360"/>
      </w:tabs>
    </w:pPr>
  </w:style>
  <w:style w:type="character" w:customStyle="1" w:styleId="HeaderChar">
    <w:name w:val="Header Char"/>
    <w:basedOn w:val="DefaultParagraphFont"/>
    <w:link w:val="Header"/>
    <w:uiPriority w:val="99"/>
    <w:rsid w:val="000F2917"/>
  </w:style>
  <w:style w:type="paragraph" w:styleId="Footer">
    <w:name w:val="footer"/>
    <w:basedOn w:val="Normal"/>
    <w:link w:val="FooterChar"/>
    <w:uiPriority w:val="99"/>
    <w:unhideWhenUsed/>
    <w:rsid w:val="000F2917"/>
    <w:pPr>
      <w:tabs>
        <w:tab w:val="center" w:pos="4680"/>
        <w:tab w:val="right" w:pos="9360"/>
      </w:tabs>
    </w:pPr>
  </w:style>
  <w:style w:type="character" w:customStyle="1" w:styleId="FooterChar">
    <w:name w:val="Footer Char"/>
    <w:basedOn w:val="DefaultParagraphFont"/>
    <w:link w:val="Footer"/>
    <w:uiPriority w:val="99"/>
    <w:rsid w:val="000F2917"/>
  </w:style>
  <w:style w:type="table" w:styleId="TableGrid">
    <w:name w:val="Table Grid"/>
    <w:basedOn w:val="TableNormal"/>
    <w:uiPriority w:val="39"/>
    <w:rsid w:val="00885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rcularHeading">
    <w:name w:val="Circular Heading"/>
    <w:basedOn w:val="Normal"/>
    <w:link w:val="CircularHeadingChar"/>
    <w:qFormat/>
    <w:rsid w:val="00D038C3"/>
    <w:pPr>
      <w:jc w:val="center"/>
    </w:pPr>
    <w:rPr>
      <w:b/>
    </w:rPr>
  </w:style>
  <w:style w:type="paragraph" w:customStyle="1" w:styleId="Level4">
    <w:name w:val="Level 4"/>
    <w:basedOn w:val="ListParagraph"/>
    <w:link w:val="Level4Char"/>
    <w:rsid w:val="004A1B0E"/>
    <w:pPr>
      <w:numPr>
        <w:ilvl w:val="3"/>
        <w:numId w:val="3"/>
      </w:numPr>
      <w:tabs>
        <w:tab w:val="left" w:pos="2520"/>
      </w:tabs>
    </w:pPr>
  </w:style>
  <w:style w:type="character" w:customStyle="1" w:styleId="CircularHeadingChar">
    <w:name w:val="Circular Heading Char"/>
    <w:basedOn w:val="DefaultParagraphFont"/>
    <w:link w:val="CircularHeading"/>
    <w:rsid w:val="00D038C3"/>
    <w:rPr>
      <w:rFonts w:ascii="Arial" w:hAnsi="Arial" w:cs="Arial"/>
      <w:b/>
      <w:sz w:val="23"/>
      <w:szCs w:val="23"/>
    </w:rPr>
  </w:style>
  <w:style w:type="character" w:customStyle="1" w:styleId="Level4Char">
    <w:name w:val="Level 4 Char"/>
    <w:basedOn w:val="ListParagraphChar"/>
    <w:link w:val="Level4"/>
    <w:rsid w:val="004A1B0E"/>
    <w:rPr>
      <w:szCs w:val="23"/>
    </w:rPr>
  </w:style>
  <w:style w:type="paragraph" w:customStyle="1" w:styleId="Level4a">
    <w:name w:val="Level 4a"/>
    <w:basedOn w:val="Level3"/>
    <w:link w:val="Level4aChar"/>
    <w:qFormat/>
    <w:rsid w:val="00CA3643"/>
    <w:pPr>
      <w:numPr>
        <w:ilvl w:val="3"/>
      </w:numPr>
      <w:ind w:left="2835" w:hanging="1134"/>
    </w:pPr>
  </w:style>
  <w:style w:type="character" w:customStyle="1" w:styleId="Level4aChar">
    <w:name w:val="Level 4a Char"/>
    <w:basedOn w:val="Level3Char"/>
    <w:link w:val="Level4a"/>
    <w:rsid w:val="00CA3643"/>
    <w:rPr>
      <w:bCs/>
      <w:szCs w:val="2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unhideWhenUsed/>
    <w:rsid w:val="00394677"/>
    <w:pPr>
      <w:pBdr>
        <w:top w:val="nil"/>
        <w:left w:val="nil"/>
        <w:bottom w:val="nil"/>
        <w:right w:val="nil"/>
        <w:between w:val="nil"/>
      </w:pBdr>
      <w:jc w:val="center"/>
    </w:pPr>
    <w:rPr>
      <w:b/>
      <w:color w:val="000000"/>
    </w:rPr>
  </w:style>
  <w:style w:type="character" w:customStyle="1" w:styleId="BodyTextChar">
    <w:name w:val="Body Text Char"/>
    <w:basedOn w:val="DefaultParagraphFont"/>
    <w:link w:val="BodyText"/>
    <w:uiPriority w:val="99"/>
    <w:rsid w:val="00394677"/>
    <w:rPr>
      <w:b/>
      <w:color w:val="000000"/>
      <w:szCs w:val="23"/>
    </w:rPr>
  </w:style>
  <w:style w:type="character" w:customStyle="1" w:styleId="Heading7Char">
    <w:name w:val="Heading 7 Char"/>
    <w:basedOn w:val="DefaultParagraphFont"/>
    <w:link w:val="Heading7"/>
    <w:uiPriority w:val="9"/>
    <w:rsid w:val="00CB56DA"/>
    <w:rPr>
      <w:b/>
      <w:color w:val="000000"/>
    </w:rPr>
  </w:style>
  <w:style w:type="paragraph" w:styleId="BodyTextIndent">
    <w:name w:val="Body Text Indent"/>
    <w:basedOn w:val="Normal"/>
    <w:link w:val="BodyTextIndentChar"/>
    <w:uiPriority w:val="99"/>
    <w:unhideWhenUsed/>
    <w:rsid w:val="004E4F52"/>
    <w:pPr>
      <w:pBdr>
        <w:top w:val="nil"/>
        <w:left w:val="nil"/>
        <w:bottom w:val="nil"/>
        <w:right w:val="nil"/>
        <w:between w:val="nil"/>
      </w:pBdr>
      <w:tabs>
        <w:tab w:val="left" w:pos="851"/>
      </w:tabs>
      <w:ind w:left="360"/>
    </w:pPr>
  </w:style>
  <w:style w:type="character" w:customStyle="1" w:styleId="BodyTextIndentChar">
    <w:name w:val="Body Text Indent Char"/>
    <w:basedOn w:val="DefaultParagraphFont"/>
    <w:link w:val="BodyTextIndent"/>
    <w:uiPriority w:val="99"/>
    <w:rsid w:val="004E4F52"/>
    <w:rPr>
      <w:szCs w:val="23"/>
    </w:rPr>
  </w:style>
  <w:style w:type="character" w:customStyle="1" w:styleId="Heading8Char">
    <w:name w:val="Heading 8 Char"/>
    <w:basedOn w:val="DefaultParagraphFont"/>
    <w:link w:val="Heading8"/>
    <w:uiPriority w:val="9"/>
    <w:rsid w:val="004E4F52"/>
    <w:rPr>
      <w:szCs w:val="23"/>
    </w:rPr>
  </w:style>
  <w:style w:type="paragraph" w:styleId="BodyTextIndent2">
    <w:name w:val="Body Text Indent 2"/>
    <w:basedOn w:val="Normal"/>
    <w:link w:val="BodyTextIndent2Char"/>
    <w:uiPriority w:val="99"/>
    <w:unhideWhenUsed/>
    <w:rsid w:val="001C40EE"/>
    <w:pPr>
      <w:pBdr>
        <w:top w:val="nil"/>
        <w:left w:val="nil"/>
        <w:bottom w:val="nil"/>
        <w:right w:val="nil"/>
        <w:between w:val="nil"/>
      </w:pBdr>
      <w:tabs>
        <w:tab w:val="left" w:pos="851"/>
      </w:tabs>
      <w:ind w:left="1440"/>
    </w:pPr>
    <w:rPr>
      <w:color w:val="FF0000"/>
      <w:szCs w:val="24"/>
    </w:rPr>
  </w:style>
  <w:style w:type="character" w:customStyle="1" w:styleId="BodyTextIndent2Char">
    <w:name w:val="Body Text Indent 2 Char"/>
    <w:basedOn w:val="DefaultParagraphFont"/>
    <w:link w:val="BodyTextIndent2"/>
    <w:uiPriority w:val="99"/>
    <w:rsid w:val="001C40EE"/>
    <w:rPr>
      <w:color w:val="FF0000"/>
    </w:rPr>
  </w:style>
  <w:style w:type="paragraph" w:styleId="BodyText2">
    <w:name w:val="Body Text 2"/>
    <w:basedOn w:val="Normal"/>
    <w:link w:val="BodyText2Char"/>
    <w:uiPriority w:val="99"/>
    <w:unhideWhenUsed/>
    <w:rsid w:val="00240E8D"/>
    <w:pPr>
      <w:pBdr>
        <w:top w:val="single" w:sz="4" w:space="1" w:color="000000"/>
        <w:left w:val="nil"/>
        <w:bottom w:val="nil"/>
        <w:right w:val="nil"/>
        <w:between w:val="nil"/>
      </w:pBdr>
      <w:tabs>
        <w:tab w:val="center" w:pos="4680"/>
        <w:tab w:val="right" w:pos="9360"/>
      </w:tabs>
    </w:pPr>
    <w:rPr>
      <w:bCs/>
      <w:color w:val="000000"/>
      <w:sz w:val="20"/>
      <w:szCs w:val="20"/>
    </w:rPr>
  </w:style>
  <w:style w:type="character" w:customStyle="1" w:styleId="BodyText2Char">
    <w:name w:val="Body Text 2 Char"/>
    <w:basedOn w:val="DefaultParagraphFont"/>
    <w:link w:val="BodyText2"/>
    <w:uiPriority w:val="99"/>
    <w:rsid w:val="00240E8D"/>
    <w:rPr>
      <w:bCs/>
      <w:color w:val="000000"/>
      <w:sz w:val="20"/>
      <w:szCs w:val="20"/>
    </w:rPr>
  </w:style>
  <w:style w:type="paragraph" w:styleId="TOCHeading">
    <w:name w:val="TOC Heading"/>
    <w:basedOn w:val="Heading1"/>
    <w:next w:val="Normal"/>
    <w:uiPriority w:val="39"/>
    <w:unhideWhenUsed/>
    <w:qFormat/>
    <w:rsid w:val="00F0038D"/>
    <w:pPr>
      <w:numPr>
        <w:numId w:val="0"/>
      </w:numPr>
      <w:spacing w:before="240" w:after="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F0038D"/>
    <w:pPr>
      <w:spacing w:after="100"/>
    </w:pPr>
  </w:style>
  <w:style w:type="character" w:styleId="Hyperlink">
    <w:name w:val="Hyperlink"/>
    <w:basedOn w:val="DefaultParagraphFont"/>
    <w:uiPriority w:val="99"/>
    <w:unhideWhenUsed/>
    <w:rsid w:val="00F0038D"/>
    <w:rPr>
      <w:color w:val="0563C1" w:themeColor="hyperlink"/>
      <w:u w:val="single"/>
    </w:rPr>
  </w:style>
  <w:style w:type="character" w:customStyle="1" w:styleId="Heading9Char">
    <w:name w:val="Heading 9 Char"/>
    <w:basedOn w:val="DefaultParagraphFont"/>
    <w:link w:val="Heading9"/>
    <w:uiPriority w:val="9"/>
    <w:rsid w:val="00857E65"/>
    <w:rPr>
      <w:b/>
      <w:color w:val="000000"/>
      <w:szCs w:val="23"/>
    </w:rPr>
  </w:style>
  <w:style w:type="character" w:customStyle="1" w:styleId="fontstyle01">
    <w:name w:val="fontstyle01"/>
    <w:basedOn w:val="DefaultParagraphFont"/>
    <w:rsid w:val="005332B7"/>
    <w:rPr>
      <w:rFonts w:ascii="ArialMT" w:hAnsi="ArialMT" w:hint="default"/>
      <w:b w:val="0"/>
      <w:bCs w:val="0"/>
      <w:i w:val="0"/>
      <w:iCs w:val="0"/>
      <w:color w:val="000000"/>
      <w:sz w:val="24"/>
      <w:szCs w:val="24"/>
    </w:rPr>
  </w:style>
  <w:style w:type="paragraph" w:styleId="FootnoteText">
    <w:name w:val="footnote text"/>
    <w:basedOn w:val="Normal"/>
    <w:link w:val="FootnoteTextChar"/>
    <w:unhideWhenUsed/>
    <w:rsid w:val="00CE0252"/>
    <w:pPr>
      <w:contextualSpacing w:val="0"/>
      <w:jc w:val="left"/>
    </w:pPr>
    <w:rPr>
      <w:rFonts w:ascii="Cambria" w:eastAsia="Cambria" w:hAnsi="Cambria" w:cs="Cambria"/>
      <w:sz w:val="20"/>
      <w:szCs w:val="20"/>
      <w:lang w:val="en-US" w:eastAsia="en-US"/>
    </w:rPr>
  </w:style>
  <w:style w:type="character" w:customStyle="1" w:styleId="FootnoteTextChar">
    <w:name w:val="Footnote Text Char"/>
    <w:basedOn w:val="DefaultParagraphFont"/>
    <w:link w:val="FootnoteText"/>
    <w:semiHidden/>
    <w:rsid w:val="00CE0252"/>
    <w:rPr>
      <w:rFonts w:ascii="Cambria" w:eastAsia="Cambria" w:hAnsi="Cambria" w:cs="Cambria"/>
      <w:sz w:val="20"/>
      <w:szCs w:val="20"/>
      <w:lang w:val="en-US" w:eastAsia="en-US"/>
    </w:rPr>
  </w:style>
  <w:style w:type="character" w:styleId="FootnoteReference">
    <w:name w:val="footnote reference"/>
    <w:basedOn w:val="DefaultParagraphFont"/>
    <w:uiPriority w:val="99"/>
    <w:unhideWhenUsed/>
    <w:rsid w:val="00CE0252"/>
    <w:rPr>
      <w:vertAlign w:val="superscript"/>
    </w:rPr>
  </w:style>
  <w:style w:type="character" w:customStyle="1" w:styleId="ListParagraphChar1">
    <w:name w:val="List Paragraph Char1"/>
    <w:basedOn w:val="DefaultParagraphFont"/>
    <w:uiPriority w:val="34"/>
    <w:rsid w:val="009A3AD8"/>
    <w:rPr>
      <w:sz w:val="24"/>
      <w:szCs w:val="24"/>
      <w:lang w:eastAsia="zh-CN"/>
    </w:rPr>
  </w:style>
  <w:style w:type="paragraph" w:styleId="NoSpacing">
    <w:name w:val="No Spacing"/>
    <w:uiPriority w:val="1"/>
    <w:qFormat/>
    <w:rsid w:val="008965C4"/>
    <w:pPr>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vOOpwJzkzSv2Qf4La3yvHRsOg==">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2CB488-FBA9-4753-AA4F-AAC979D6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Emilyn Aguila</dc:creator>
  <cp:lastModifiedBy>Monica Rosales</cp:lastModifiedBy>
  <cp:revision>5</cp:revision>
  <dcterms:created xsi:type="dcterms:W3CDTF">2022-11-15T04:56:00Z</dcterms:created>
  <dcterms:modified xsi:type="dcterms:W3CDTF">2022-11-15T05:40:00Z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5ae07cb88237db1a29234d3abfdfc9c36a53840c548999868f9438bb52874837</vt:lpwstr>
  </property>
</Properties>
</file>